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2DFD9A4" w14:textId="024E0620" w:rsidR="004D271C" w:rsidRPr="000065A0" w:rsidRDefault="00C262EA" w:rsidP="00A95ABC">
      <w:pPr>
        <w:jc w:val="center"/>
        <w:rPr>
          <w:rFonts w:eastAsia="Times New Roman" w:cs="Times New Roman"/>
          <w:b/>
          <w:sz w:val="36"/>
          <w:szCs w:val="36"/>
          <w:lang w:eastAsia="x-none"/>
        </w:rPr>
      </w:pPr>
      <w:r>
        <w:rPr>
          <w:rFonts w:eastAsia="Calibri,Arial,Times New Roman" w:cs="Calibri,Arial,Times New Roman"/>
          <w:noProof/>
          <w:kern w:val="32"/>
          <w:lang w:val="en-NZ" w:eastAsia="en-NZ"/>
        </w:rPr>
        <mc:AlternateContent>
          <mc:Choice Requires="wps">
            <w:drawing>
              <wp:anchor distT="0" distB="0" distL="114300" distR="114300" simplePos="0" relativeHeight="251659264" behindDoc="0" locked="0" layoutInCell="1" allowOverlap="1" wp14:anchorId="322D9817" wp14:editId="6D5E0B76">
                <wp:simplePos x="0" y="0"/>
                <wp:positionH relativeFrom="column">
                  <wp:posOffset>4721456</wp:posOffset>
                </wp:positionH>
                <wp:positionV relativeFrom="paragraph">
                  <wp:posOffset>424733</wp:posOffset>
                </wp:positionV>
                <wp:extent cx="1709843" cy="732367"/>
                <wp:effectExtent l="57150" t="38100" r="81280" b="86995"/>
                <wp:wrapNone/>
                <wp:docPr id="2" name="Rounded Rectangle 2"/>
                <wp:cNvGraphicFramePr/>
                <a:graphic xmlns:a="http://schemas.openxmlformats.org/drawingml/2006/main">
                  <a:graphicData uri="http://schemas.microsoft.com/office/word/2010/wordprocessingShape">
                    <wps:wsp>
                      <wps:cNvSpPr/>
                      <wps:spPr>
                        <a:xfrm>
                          <a:off x="0" y="0"/>
                          <a:ext cx="1709843" cy="73236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B0318B9" w14:textId="37ADEE39" w:rsidR="00C262EA" w:rsidRPr="00C262EA" w:rsidRDefault="00C262EA" w:rsidP="00C262EA">
                            <w:pPr>
                              <w:jc w:val="center"/>
                              <w:rPr>
                                <w:sz w:val="20"/>
                                <w:szCs w:val="20"/>
                              </w:rPr>
                            </w:pPr>
                            <w:r w:rsidRPr="00C262EA">
                              <w:rPr>
                                <w:sz w:val="20"/>
                                <w:szCs w:val="20"/>
                              </w:rPr>
                              <w:t>Please note: this is WORK IN PROGRESS</w:t>
                            </w:r>
                            <w:r>
                              <w:rPr>
                                <w:sz w:val="20"/>
                                <w:szCs w:val="20"/>
                              </w:rPr>
                              <w:t>:</w:t>
                            </w:r>
                            <w:r w:rsidRPr="00C262EA">
                              <w:rPr>
                                <w:sz w:val="20"/>
                                <w:szCs w:val="20"/>
                              </w:rPr>
                              <w:t xml:space="preserve"> thank you for any comments </w:t>
                            </w:r>
                          </w:p>
                          <w:p w14:paraId="7D6A8172" w14:textId="4D9323A8" w:rsidR="00C262EA" w:rsidRDefault="00C262EA" w:rsidP="00C262EA">
                            <w:pPr>
                              <w:jc w:val="center"/>
                            </w:pPr>
                            <w:r>
                              <w:t xml:space="preserve">Any comments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371.75pt;margin-top:33.45pt;width:134.6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" fillcolor="#a5d5e2 [1624]" strokecolor="#40a7c2 [3048]">
                <v:fill color2="#e4f2f6 [504]" rotate="t" angle="180" colors="0 #9eeaff;22938f #bbefff;1 #e4f9ff" focus="100%" type="gradient"/>
                <v:shadow on="t" color="black" opacity="24903f" origin=",.5" offset="0,.55556mm"/>
                <v:textbox>
                  <w:txbxContent>
                    <w:p w14:paraId="6B0318B9" w14:textId="37ADEE39" w:rsidR="00C262EA" w:rsidRPr="00C262EA" w:rsidRDefault="00C262EA" w:rsidP="00C262EA">
                      <w:pPr>
                        <w:jc w:val="center"/>
                        <w:rPr>
                          <w:sz w:val="20"/>
                          <w:szCs w:val="20"/>
                        </w:rPr>
                      </w:pPr>
                      <w:r w:rsidRPr="00C262EA">
                        <w:rPr>
                          <w:sz w:val="20"/>
                          <w:szCs w:val="20"/>
                        </w:rPr>
                        <w:t>Please note: this is WORK IN PROGRESS</w:t>
                      </w:r>
                      <w:r>
                        <w:rPr>
                          <w:sz w:val="20"/>
                          <w:szCs w:val="20"/>
                        </w:rPr>
                        <w:t>:</w:t>
                      </w:r>
                      <w:r w:rsidRPr="00C262EA">
                        <w:rPr>
                          <w:sz w:val="20"/>
                          <w:szCs w:val="20"/>
                        </w:rPr>
                        <w:t xml:space="preserve"> thank you for any comments </w:t>
                      </w:r>
                    </w:p>
                    <w:p w14:paraId="7D6A8172" w14:textId="4D9323A8" w:rsidR="00C262EA" w:rsidRDefault="00C262EA" w:rsidP="00C262EA">
                      <w:pPr>
                        <w:jc w:val="center"/>
                      </w:pPr>
                      <w:r>
                        <w:t xml:space="preserve">Any comments </w:t>
                      </w:r>
                    </w:p>
                  </w:txbxContent>
                </v:textbox>
              </v:roundrect>
            </w:pict>
          </mc:Fallback>
        </mc:AlternateContent>
      </w:r>
      <w:r w:rsidR="00E230B4">
        <w:rPr>
          <w:rFonts w:cs="Times New Roman"/>
          <w:b/>
          <w:sz w:val="36"/>
          <w:szCs w:val="36"/>
        </w:rPr>
        <w:t xml:space="preserve">Need Help? </w:t>
      </w:r>
      <w:r w:rsidR="009C2483" w:rsidRPr="000065A0">
        <w:rPr>
          <w:rFonts w:cs="Times New Roman"/>
          <w:b/>
          <w:sz w:val="36"/>
          <w:szCs w:val="36"/>
        </w:rPr>
        <w:t xml:space="preserve">The </w:t>
      </w:r>
      <w:r w:rsidR="00927589" w:rsidRPr="000065A0">
        <w:rPr>
          <w:rFonts w:cs="Times New Roman"/>
          <w:b/>
          <w:sz w:val="36"/>
          <w:szCs w:val="36"/>
        </w:rPr>
        <w:t xml:space="preserve">EU </w:t>
      </w:r>
      <w:r w:rsidR="004D271C" w:rsidRPr="000065A0">
        <w:rPr>
          <w:rFonts w:cs="Times New Roman"/>
          <w:b/>
          <w:sz w:val="36"/>
          <w:szCs w:val="36"/>
        </w:rPr>
        <w:t>and the Challenge of Eldercare</w:t>
      </w:r>
      <w:r w:rsidR="004D271C" w:rsidRPr="000065A0">
        <w:rPr>
          <w:rFonts w:eastAsia="Times New Roman" w:cs="Times New Roman"/>
          <w:b/>
          <w:sz w:val="36"/>
          <w:szCs w:val="36"/>
          <w:vertAlign w:val="superscript"/>
          <w:lang w:val="x-none" w:eastAsia="x-none"/>
        </w:rPr>
        <w:footnoteReference w:customMarkFollows="1" w:id="1"/>
        <w:t>*</w:t>
      </w:r>
    </w:p>
    <w:p w14:paraId="331B6265" w14:textId="726840F2" w:rsidR="009C2483" w:rsidRPr="000065A0" w:rsidRDefault="009C2483" w:rsidP="00A95ABC">
      <w:pPr>
        <w:pStyle w:val="Heading1"/>
        <w:spacing w:before="0"/>
        <w:jc w:val="center"/>
        <w:rPr>
          <w:rFonts w:asciiTheme="minorHAnsi" w:eastAsia="Times New Roman" w:hAnsiTheme="minorHAnsi" w:cs="Times New Roman"/>
          <w:color w:val="auto"/>
        </w:rPr>
      </w:pPr>
      <w:r w:rsidRPr="000065A0">
        <w:rPr>
          <w:rFonts w:asciiTheme="minorHAnsi" w:eastAsia="Calibri,Arial,Times New Roman" w:hAnsiTheme="minorHAnsi" w:cs="Calibri,Arial,Times New Roman"/>
          <w:color w:val="auto"/>
          <w:kern w:val="32"/>
          <w:lang w:eastAsia="en-GB"/>
        </w:rPr>
        <w:t>Law and the Ageing of Humankind</w:t>
      </w:r>
    </w:p>
    <w:p w14:paraId="43C67DE5" w14:textId="427BDC6E" w:rsidR="00AF5F1B" w:rsidRPr="000065A0" w:rsidRDefault="00AF5F1B" w:rsidP="00A95ABC">
      <w:pPr>
        <w:pStyle w:val="Heading1"/>
        <w:spacing w:before="0"/>
        <w:jc w:val="center"/>
        <w:rPr>
          <w:rFonts w:asciiTheme="minorHAnsi" w:eastAsia="Times New Roman" w:hAnsiTheme="minorHAnsi" w:cs="Times New Roman"/>
          <w:color w:val="auto"/>
        </w:rPr>
      </w:pPr>
      <w:r w:rsidRPr="000065A0">
        <w:rPr>
          <w:rFonts w:asciiTheme="minorHAnsi" w:eastAsia="Times New Roman" w:hAnsiTheme="minorHAnsi" w:cs="Times New Roman"/>
          <w:color w:val="auto"/>
        </w:rPr>
        <w:t>WG Hart Workshop 22-</w:t>
      </w:r>
      <w:r w:rsidR="003C608A">
        <w:rPr>
          <w:rFonts w:asciiTheme="minorHAnsi" w:eastAsia="Times New Roman" w:hAnsiTheme="minorHAnsi" w:cs="Times New Roman"/>
          <w:color w:val="auto"/>
        </w:rPr>
        <w:t>23</w:t>
      </w:r>
      <w:r w:rsidRPr="000065A0">
        <w:rPr>
          <w:rFonts w:asciiTheme="minorHAnsi" w:eastAsia="Times New Roman" w:hAnsiTheme="minorHAnsi" w:cs="Times New Roman"/>
          <w:color w:val="auto"/>
        </w:rPr>
        <w:t xml:space="preserve"> June 2</w:t>
      </w:r>
      <w:r w:rsidR="007C7094">
        <w:rPr>
          <w:rFonts w:asciiTheme="minorHAnsi" w:eastAsia="Times New Roman" w:hAnsiTheme="minorHAnsi" w:cs="Times New Roman"/>
          <w:color w:val="auto"/>
        </w:rPr>
        <w:t>01</w:t>
      </w:r>
      <w:r w:rsidRPr="000065A0">
        <w:rPr>
          <w:rFonts w:asciiTheme="minorHAnsi" w:eastAsia="Times New Roman" w:hAnsiTheme="minorHAnsi" w:cs="Times New Roman"/>
          <w:color w:val="auto"/>
        </w:rPr>
        <w:t>5</w:t>
      </w:r>
    </w:p>
    <w:p w14:paraId="07783D10" w14:textId="77777777" w:rsidR="00010C22" w:rsidRPr="00AF5F1B" w:rsidRDefault="00010C22" w:rsidP="00A95ABC">
      <w:pPr>
        <w:jc w:val="both"/>
        <w:rPr>
          <w:rFonts w:cs="Times New Roman"/>
          <w:b/>
          <w:sz w:val="24"/>
          <w:szCs w:val="24"/>
        </w:rPr>
      </w:pPr>
    </w:p>
    <w:p w14:paraId="525E5EEC" w14:textId="77777777" w:rsidR="0083439B" w:rsidRPr="00AF5F1B" w:rsidRDefault="00B10EC0" w:rsidP="00A95ABC">
      <w:pPr>
        <w:spacing w:after="0"/>
        <w:jc w:val="both"/>
        <w:rPr>
          <w:rFonts w:cs="Times New Roman"/>
          <w:sz w:val="24"/>
          <w:szCs w:val="24"/>
        </w:rPr>
      </w:pPr>
      <w:r w:rsidRPr="00BA1C94">
        <w:rPr>
          <w:rFonts w:cs="Times New Roman"/>
          <w:b/>
          <w:sz w:val="24"/>
          <w:szCs w:val="24"/>
        </w:rPr>
        <w:t>Introduction</w:t>
      </w:r>
    </w:p>
    <w:p w14:paraId="67535F2F" w14:textId="30FCC620" w:rsidR="001F787F" w:rsidRDefault="00E76DC5" w:rsidP="00A95ABC">
      <w:pPr>
        <w:spacing w:after="0"/>
        <w:jc w:val="both"/>
        <w:rPr>
          <w:sz w:val="24"/>
          <w:szCs w:val="24"/>
          <w:lang w:eastAsia="ar-SA"/>
        </w:rPr>
      </w:pPr>
      <w:r w:rsidRPr="00AF5F1B">
        <w:rPr>
          <w:rFonts w:eastAsia="Times New Roman" w:cs="Times New Roman"/>
          <w:sz w:val="24"/>
          <w:szCs w:val="24"/>
        </w:rPr>
        <w:t>It is a well-established fact that, across Europe</w:t>
      </w:r>
      <w:r w:rsidR="008B3F2C">
        <w:rPr>
          <w:rFonts w:eastAsia="Times New Roman" w:cs="Times New Roman"/>
          <w:sz w:val="24"/>
          <w:szCs w:val="24"/>
        </w:rPr>
        <w:t>,</w:t>
      </w:r>
      <w:r w:rsidRPr="00AF5F1B">
        <w:rPr>
          <w:rFonts w:eastAsia="Times New Roman" w:cs="Times New Roman"/>
          <w:sz w:val="24"/>
          <w:szCs w:val="24"/>
        </w:rPr>
        <w:t xml:space="preserve"> </w:t>
      </w:r>
      <w:r w:rsidR="00B32620" w:rsidRPr="00AF5F1B">
        <w:rPr>
          <w:rFonts w:eastAsia="Times New Roman" w:cs="Times New Roman"/>
          <w:sz w:val="24"/>
          <w:szCs w:val="24"/>
        </w:rPr>
        <w:t>the population is ageing</w:t>
      </w:r>
      <w:r w:rsidR="001E3F58" w:rsidRPr="00AF5F1B">
        <w:rPr>
          <w:rFonts w:eastAsia="Times New Roman" w:cs="Times New Roman"/>
          <w:sz w:val="24"/>
          <w:szCs w:val="24"/>
        </w:rPr>
        <w:t>.</w:t>
      </w:r>
      <w:r w:rsidRPr="00AF5F1B">
        <w:rPr>
          <w:rStyle w:val="FootnoteReference"/>
          <w:rFonts w:eastAsia="Times New Roman" w:cs="Times New Roman"/>
          <w:sz w:val="24"/>
          <w:szCs w:val="24"/>
        </w:rPr>
        <w:footnoteReference w:id="2"/>
      </w:r>
      <w:r w:rsidR="00B32620" w:rsidRPr="00AF5F1B">
        <w:rPr>
          <w:rFonts w:eastAsia="Times New Roman" w:cs="Times New Roman"/>
          <w:sz w:val="24"/>
          <w:szCs w:val="24"/>
        </w:rPr>
        <w:t xml:space="preserve"> </w:t>
      </w:r>
      <w:r w:rsidR="008B3F2C">
        <w:rPr>
          <w:rFonts w:eastAsia="Times New Roman" w:cs="Times New Roman"/>
          <w:sz w:val="24"/>
          <w:szCs w:val="24"/>
        </w:rPr>
        <w:t xml:space="preserve"> </w:t>
      </w:r>
      <w:r w:rsidRPr="00AF5F1B">
        <w:rPr>
          <w:sz w:val="24"/>
          <w:szCs w:val="24"/>
          <w:lang w:eastAsia="ar-SA"/>
        </w:rPr>
        <w:t>A greater life expectancy combined with declining birth rates, has meant that the number of older (55-64), elderly (65-79) and very elderly (80+) people has grown to an unprecedented level</w:t>
      </w:r>
      <w:r w:rsidR="00985099">
        <w:rPr>
          <w:sz w:val="24"/>
          <w:szCs w:val="24"/>
          <w:lang w:eastAsia="ar-SA"/>
        </w:rPr>
        <w:t xml:space="preserve"> and this trend is steadily increasing</w:t>
      </w:r>
      <w:r w:rsidRPr="00AF5F1B">
        <w:rPr>
          <w:sz w:val="24"/>
          <w:szCs w:val="24"/>
          <w:lang w:eastAsia="ar-SA"/>
        </w:rPr>
        <w:t xml:space="preserve">.  It is estimated that </w:t>
      </w:r>
      <w:r w:rsidRPr="00AF5F1B">
        <w:rPr>
          <w:rFonts w:eastAsia="Times New Roman" w:cs="Times New Roman"/>
          <w:sz w:val="24"/>
          <w:szCs w:val="24"/>
        </w:rPr>
        <w:t xml:space="preserve">those over the age of 79 are expected to triple across </w:t>
      </w:r>
      <w:r w:rsidR="00B0215B">
        <w:rPr>
          <w:rFonts w:eastAsia="Times New Roman" w:cs="Times New Roman"/>
          <w:sz w:val="24"/>
          <w:szCs w:val="24"/>
        </w:rPr>
        <w:t xml:space="preserve">the </w:t>
      </w:r>
      <w:r w:rsidRPr="00AF5F1B">
        <w:rPr>
          <w:rFonts w:eastAsia="Times New Roman" w:cs="Times New Roman"/>
          <w:sz w:val="24"/>
          <w:szCs w:val="24"/>
        </w:rPr>
        <w:t>EU by 2060</w:t>
      </w:r>
      <w:r w:rsidR="008B3F2C">
        <w:rPr>
          <w:rFonts w:eastAsia="Times New Roman" w:cs="Times New Roman"/>
          <w:sz w:val="24"/>
          <w:szCs w:val="24"/>
        </w:rPr>
        <w:t xml:space="preserve"> (see Table 1)</w:t>
      </w:r>
      <w:r w:rsidR="003C608A">
        <w:rPr>
          <w:rFonts w:eastAsia="Times New Roman" w:cs="Times New Roman"/>
          <w:sz w:val="24"/>
          <w:szCs w:val="24"/>
        </w:rPr>
        <w:t>.</w:t>
      </w:r>
      <w:r w:rsidR="00115FF4" w:rsidRPr="00AF5F1B">
        <w:rPr>
          <w:rStyle w:val="FootnoteReference"/>
          <w:rFonts w:eastAsia="Times New Roman" w:cs="Times New Roman"/>
          <w:sz w:val="24"/>
          <w:szCs w:val="24"/>
        </w:rPr>
        <w:footnoteReference w:id="3"/>
      </w:r>
      <w:r w:rsidR="00115FF4" w:rsidRPr="00AF5F1B">
        <w:rPr>
          <w:rFonts w:eastAsia="Times New Roman" w:cs="Times New Roman"/>
          <w:sz w:val="24"/>
          <w:szCs w:val="24"/>
        </w:rPr>
        <w:t xml:space="preserve"> </w:t>
      </w:r>
      <w:r w:rsidR="00985099">
        <w:rPr>
          <w:rFonts w:eastAsia="Times New Roman" w:cs="Times New Roman"/>
          <w:sz w:val="24"/>
          <w:szCs w:val="24"/>
        </w:rPr>
        <w:t xml:space="preserve"> </w:t>
      </w:r>
      <w:r w:rsidR="00AF5F1B" w:rsidRPr="00AF5F1B">
        <w:rPr>
          <w:rFonts w:eastAsia="Times New Roman" w:cs="Times New Roman"/>
          <w:sz w:val="24"/>
          <w:szCs w:val="24"/>
        </w:rPr>
        <w:t>Specifically, b</w:t>
      </w:r>
      <w:r w:rsidR="00115FF4" w:rsidRPr="00AF5F1B">
        <w:rPr>
          <w:rFonts w:eastAsia="Times New Roman" w:cs="Times New Roman"/>
          <w:sz w:val="24"/>
          <w:szCs w:val="24"/>
        </w:rPr>
        <w:t>y then</w:t>
      </w:r>
      <w:r w:rsidR="00AF5F1B" w:rsidRPr="00AF5F1B">
        <w:rPr>
          <w:rFonts w:eastAsia="Times New Roman" w:cs="Times New Roman"/>
          <w:sz w:val="24"/>
          <w:szCs w:val="24"/>
        </w:rPr>
        <w:t>,</w:t>
      </w:r>
      <w:r w:rsidR="00115FF4" w:rsidRPr="00AF5F1B">
        <w:rPr>
          <w:rFonts w:eastAsia="Times New Roman" w:cs="Times New Roman"/>
          <w:sz w:val="24"/>
          <w:szCs w:val="24"/>
        </w:rPr>
        <w:t xml:space="preserve"> </w:t>
      </w:r>
      <w:r w:rsidR="000065A0" w:rsidRPr="00AF5F1B">
        <w:rPr>
          <w:rFonts w:eastAsia="Times New Roman" w:cs="Times New Roman"/>
          <w:sz w:val="24"/>
          <w:szCs w:val="24"/>
        </w:rPr>
        <w:t>the age band 80+ is expected to increase from 5% to 28% of the population</w:t>
      </w:r>
      <w:r w:rsidR="000065A0">
        <w:rPr>
          <w:rFonts w:eastAsia="Times New Roman" w:cs="Times New Roman"/>
          <w:sz w:val="24"/>
          <w:szCs w:val="24"/>
        </w:rPr>
        <w:t>, whilst</w:t>
      </w:r>
      <w:r w:rsidR="000065A0" w:rsidRPr="00AF5F1B">
        <w:rPr>
          <w:rFonts w:eastAsia="Times New Roman" w:cs="Times New Roman"/>
          <w:sz w:val="24"/>
          <w:szCs w:val="24"/>
        </w:rPr>
        <w:t xml:space="preserve"> </w:t>
      </w:r>
      <w:r w:rsidR="00115FF4" w:rsidRPr="00AF5F1B">
        <w:rPr>
          <w:rFonts w:eastAsia="Times New Roman" w:cs="Times New Roman"/>
          <w:sz w:val="24"/>
          <w:szCs w:val="24"/>
        </w:rPr>
        <w:t xml:space="preserve">those aged 55+ are expected to </w:t>
      </w:r>
      <w:r w:rsidR="00AF5F1B" w:rsidRPr="00AF5F1B">
        <w:rPr>
          <w:rFonts w:eastAsia="Times New Roman" w:cs="Times New Roman"/>
          <w:sz w:val="24"/>
          <w:szCs w:val="24"/>
        </w:rPr>
        <w:t>rise</w:t>
      </w:r>
      <w:r w:rsidR="00115FF4" w:rsidRPr="00AF5F1B">
        <w:rPr>
          <w:rFonts w:eastAsia="Times New Roman" w:cs="Times New Roman"/>
          <w:sz w:val="24"/>
          <w:szCs w:val="24"/>
        </w:rPr>
        <w:t xml:space="preserve"> from 18% to 28%.</w:t>
      </w:r>
      <w:r w:rsidR="00115FF4" w:rsidRPr="00AF5F1B">
        <w:rPr>
          <w:rStyle w:val="FootnoteReference"/>
          <w:rFonts w:eastAsia="Times New Roman" w:cs="Times New Roman"/>
          <w:sz w:val="24"/>
          <w:szCs w:val="24"/>
        </w:rPr>
        <w:footnoteReference w:id="4"/>
      </w:r>
      <w:r w:rsidRPr="00AF5F1B">
        <w:rPr>
          <w:rFonts w:eastAsia="Times New Roman" w:cs="Times New Roman"/>
          <w:sz w:val="24"/>
          <w:szCs w:val="24"/>
        </w:rPr>
        <w:t xml:space="preserve"> </w:t>
      </w:r>
      <w:r w:rsidR="00E51213">
        <w:rPr>
          <w:rFonts w:eastAsia="Times New Roman" w:cs="Times New Roman"/>
          <w:sz w:val="24"/>
          <w:szCs w:val="24"/>
        </w:rPr>
        <w:t xml:space="preserve"> </w:t>
      </w:r>
      <w:r w:rsidRPr="00AF5F1B">
        <w:rPr>
          <w:rFonts w:eastAsia="Times New Roman" w:cs="Times New Roman"/>
          <w:sz w:val="24"/>
          <w:szCs w:val="24"/>
        </w:rPr>
        <w:t xml:space="preserve">It will </w:t>
      </w:r>
      <w:r w:rsidRPr="00AF5F1B">
        <w:rPr>
          <w:sz w:val="24"/>
          <w:szCs w:val="24"/>
          <w:lang w:eastAsia="ar-SA"/>
        </w:rPr>
        <w:t xml:space="preserve">not be unusual to see four surviving generations of the same family.  </w:t>
      </w:r>
      <w:r w:rsidR="00AF5F1B">
        <w:rPr>
          <w:sz w:val="24"/>
          <w:szCs w:val="24"/>
          <w:lang w:eastAsia="ar-SA"/>
        </w:rPr>
        <w:t>Whilst this may be “</w:t>
      </w:r>
      <w:r w:rsidR="00823DE4">
        <w:rPr>
          <w:sz w:val="24"/>
          <w:szCs w:val="24"/>
          <w:lang w:eastAsia="ar-SA"/>
        </w:rPr>
        <w:t>wonderful</w:t>
      </w:r>
      <w:r w:rsidR="00AF5F1B">
        <w:rPr>
          <w:sz w:val="24"/>
          <w:szCs w:val="24"/>
          <w:lang w:eastAsia="ar-SA"/>
        </w:rPr>
        <w:t xml:space="preserve"> news”,</w:t>
      </w:r>
      <w:r w:rsidR="00AF5F1B">
        <w:rPr>
          <w:rStyle w:val="FootnoteReference"/>
          <w:sz w:val="24"/>
          <w:szCs w:val="24"/>
          <w:lang w:eastAsia="ar-SA"/>
        </w:rPr>
        <w:footnoteReference w:id="5"/>
      </w:r>
      <w:r w:rsidR="00AF5F1B">
        <w:rPr>
          <w:sz w:val="24"/>
          <w:szCs w:val="24"/>
          <w:lang w:eastAsia="ar-SA"/>
        </w:rPr>
        <w:t xml:space="preserve"> a</w:t>
      </w:r>
      <w:r w:rsidRPr="00AF5F1B">
        <w:rPr>
          <w:sz w:val="24"/>
          <w:szCs w:val="24"/>
          <w:lang w:eastAsia="ar-SA"/>
        </w:rPr>
        <w:t xml:space="preserve"> growing elderly population creates </w:t>
      </w:r>
      <w:r w:rsidR="0073545D" w:rsidRPr="00AF5F1B">
        <w:rPr>
          <w:rFonts w:eastAsia="Calibri,Arial,Times New Roman" w:cs="Calibri,Arial,Times New Roman"/>
          <w:kern w:val="32"/>
          <w:sz w:val="24"/>
          <w:szCs w:val="24"/>
          <w:lang w:eastAsia="en-GB"/>
        </w:rPr>
        <w:t>multiple and complex challenges</w:t>
      </w:r>
      <w:r w:rsidR="00A60809">
        <w:rPr>
          <w:sz w:val="24"/>
          <w:szCs w:val="24"/>
          <w:lang w:eastAsia="ar-SA"/>
        </w:rPr>
        <w:t>.  These entail</w:t>
      </w:r>
      <w:r w:rsidR="003C608A">
        <w:rPr>
          <w:sz w:val="24"/>
          <w:szCs w:val="24"/>
          <w:lang w:eastAsia="ar-SA"/>
        </w:rPr>
        <w:t xml:space="preserve">, </w:t>
      </w:r>
      <w:r w:rsidR="003C608A" w:rsidRPr="003C608A">
        <w:rPr>
          <w:i/>
          <w:sz w:val="24"/>
          <w:szCs w:val="24"/>
          <w:lang w:eastAsia="ar-SA"/>
        </w:rPr>
        <w:t>inter alia</w:t>
      </w:r>
      <w:r w:rsidR="003C608A">
        <w:rPr>
          <w:sz w:val="24"/>
          <w:szCs w:val="24"/>
          <w:lang w:eastAsia="ar-SA"/>
        </w:rPr>
        <w:t>,</w:t>
      </w:r>
      <w:r w:rsidR="009C2483" w:rsidRPr="00AF5F1B">
        <w:rPr>
          <w:sz w:val="24"/>
          <w:szCs w:val="24"/>
          <w:lang w:eastAsia="ar-SA"/>
        </w:rPr>
        <w:t xml:space="preserve"> </w:t>
      </w:r>
      <w:r w:rsidR="00A60809">
        <w:rPr>
          <w:sz w:val="24"/>
          <w:szCs w:val="24"/>
          <w:lang w:eastAsia="ar-SA"/>
        </w:rPr>
        <w:t>the</w:t>
      </w:r>
      <w:r w:rsidR="009C2483" w:rsidRPr="00AF5F1B">
        <w:rPr>
          <w:sz w:val="24"/>
          <w:szCs w:val="24"/>
          <w:lang w:eastAsia="ar-SA"/>
        </w:rPr>
        <w:t xml:space="preserve"> </w:t>
      </w:r>
      <w:r w:rsidR="0073545D">
        <w:rPr>
          <w:sz w:val="24"/>
          <w:szCs w:val="24"/>
          <w:lang w:eastAsia="ar-SA"/>
        </w:rPr>
        <w:t xml:space="preserve">sustainability of the old age-pension system, </w:t>
      </w:r>
      <w:r w:rsidR="003C608A">
        <w:rPr>
          <w:sz w:val="24"/>
          <w:szCs w:val="24"/>
          <w:lang w:eastAsia="ar-SA"/>
        </w:rPr>
        <w:t>the i</w:t>
      </w:r>
      <w:r w:rsidR="00893E4A">
        <w:rPr>
          <w:sz w:val="24"/>
          <w:szCs w:val="24"/>
          <w:lang w:eastAsia="ar-SA"/>
        </w:rPr>
        <w:t>nclusion</w:t>
      </w:r>
      <w:r w:rsidR="00D1262E" w:rsidRPr="00AF5F1B">
        <w:rPr>
          <w:sz w:val="24"/>
          <w:szCs w:val="24"/>
          <w:lang w:eastAsia="ar-SA"/>
        </w:rPr>
        <w:t xml:space="preserve"> into the labour market</w:t>
      </w:r>
      <w:r w:rsidR="003C608A">
        <w:rPr>
          <w:sz w:val="24"/>
          <w:szCs w:val="24"/>
          <w:lang w:eastAsia="ar-SA"/>
        </w:rPr>
        <w:t xml:space="preserve"> </w:t>
      </w:r>
      <w:r w:rsidR="008B3F2C">
        <w:rPr>
          <w:sz w:val="24"/>
          <w:szCs w:val="24"/>
          <w:lang w:eastAsia="ar-SA"/>
        </w:rPr>
        <w:t xml:space="preserve">of both individuals who need care and those who care for, </w:t>
      </w:r>
      <w:r w:rsidR="003C608A">
        <w:rPr>
          <w:sz w:val="24"/>
          <w:szCs w:val="24"/>
          <w:lang w:eastAsia="ar-SA"/>
        </w:rPr>
        <w:t xml:space="preserve">and the </w:t>
      </w:r>
      <w:r w:rsidR="00115FF4" w:rsidRPr="00AF5F1B">
        <w:rPr>
          <w:sz w:val="24"/>
          <w:szCs w:val="24"/>
          <w:lang w:eastAsia="ar-SA"/>
        </w:rPr>
        <w:t xml:space="preserve">establishment of adequate </w:t>
      </w:r>
      <w:r w:rsidR="00E51213">
        <w:rPr>
          <w:sz w:val="24"/>
          <w:szCs w:val="24"/>
          <w:lang w:eastAsia="ar-SA"/>
        </w:rPr>
        <w:t>health</w:t>
      </w:r>
      <w:r w:rsidR="00115FF4" w:rsidRPr="00AF5F1B">
        <w:rPr>
          <w:sz w:val="24"/>
          <w:szCs w:val="24"/>
          <w:lang w:eastAsia="ar-SA"/>
        </w:rPr>
        <w:t xml:space="preserve"> </w:t>
      </w:r>
      <w:r w:rsidR="0073545D">
        <w:rPr>
          <w:sz w:val="24"/>
          <w:szCs w:val="24"/>
          <w:lang w:eastAsia="ar-SA"/>
        </w:rPr>
        <w:t xml:space="preserve">and social </w:t>
      </w:r>
      <w:r w:rsidR="00115FF4" w:rsidRPr="00AF5F1B">
        <w:rPr>
          <w:sz w:val="24"/>
          <w:szCs w:val="24"/>
          <w:lang w:eastAsia="ar-SA"/>
        </w:rPr>
        <w:t>care</w:t>
      </w:r>
      <w:r w:rsidR="00E51213">
        <w:rPr>
          <w:sz w:val="24"/>
          <w:szCs w:val="24"/>
          <w:lang w:eastAsia="ar-SA"/>
        </w:rPr>
        <w:t xml:space="preserve"> services</w:t>
      </w:r>
      <w:r w:rsidR="00121D50">
        <w:rPr>
          <w:sz w:val="24"/>
          <w:szCs w:val="24"/>
          <w:lang w:eastAsia="ar-SA"/>
        </w:rPr>
        <w:t xml:space="preserve"> and provisions</w:t>
      </w:r>
      <w:r w:rsidR="003C608A">
        <w:rPr>
          <w:sz w:val="24"/>
          <w:szCs w:val="24"/>
          <w:lang w:eastAsia="ar-SA"/>
        </w:rPr>
        <w:t>.</w:t>
      </w:r>
      <w:r w:rsidR="0073545D">
        <w:rPr>
          <w:sz w:val="24"/>
          <w:szCs w:val="24"/>
          <w:lang w:eastAsia="ar-SA"/>
        </w:rPr>
        <w:t xml:space="preserve"> </w:t>
      </w:r>
      <w:r w:rsidR="006C34EF">
        <w:rPr>
          <w:sz w:val="24"/>
          <w:szCs w:val="24"/>
          <w:lang w:eastAsia="ar-SA"/>
        </w:rPr>
        <w:t xml:space="preserve"> </w:t>
      </w:r>
      <w:r w:rsidR="00C66AC8" w:rsidRPr="00C13493">
        <w:rPr>
          <w:rFonts w:eastAsia="Times New Roman" w:cs="Times New Roman"/>
          <w:sz w:val="24"/>
          <w:szCs w:val="24"/>
          <w:lang w:val="en" w:eastAsia="en-GB"/>
        </w:rPr>
        <w:t>Indeed, the rising life expectancy means that more people now reach an age where declining physical and mental health make them dependent on help from others.</w:t>
      </w:r>
      <w:r w:rsidR="00C66AC8" w:rsidRPr="003143BB">
        <w:rPr>
          <w:rFonts w:ascii="Times New Roman" w:eastAsia="Times New Roman" w:hAnsi="Times New Roman" w:cs="Times New Roman"/>
          <w:sz w:val="24"/>
          <w:szCs w:val="24"/>
          <w:lang w:val="en" w:eastAsia="en-GB"/>
        </w:rPr>
        <w:t xml:space="preserve"> </w:t>
      </w:r>
      <w:r w:rsidR="00C66AC8">
        <w:rPr>
          <w:rFonts w:ascii="Times New Roman" w:eastAsia="Times New Roman" w:hAnsi="Times New Roman" w:cs="Times New Roman"/>
          <w:sz w:val="24"/>
          <w:szCs w:val="24"/>
          <w:lang w:val="en" w:eastAsia="en-GB"/>
        </w:rPr>
        <w:t xml:space="preserve"> </w:t>
      </w:r>
      <w:r w:rsidR="009B564E">
        <w:rPr>
          <w:sz w:val="24"/>
          <w:szCs w:val="24"/>
          <w:lang w:eastAsia="ar-SA"/>
        </w:rPr>
        <w:t xml:space="preserve">In other words, </w:t>
      </w:r>
      <w:r w:rsidR="001F787F">
        <w:rPr>
          <w:sz w:val="24"/>
          <w:szCs w:val="24"/>
          <w:lang w:eastAsia="ar-SA"/>
        </w:rPr>
        <w:t xml:space="preserve">it is now widely acknowledge that an </w:t>
      </w:r>
      <w:r w:rsidR="009B564E">
        <w:rPr>
          <w:sz w:val="24"/>
          <w:szCs w:val="24"/>
          <w:lang w:eastAsia="ar-SA"/>
        </w:rPr>
        <w:t xml:space="preserve">ageing society is </w:t>
      </w:r>
      <w:r w:rsidR="001F787F">
        <w:rPr>
          <w:sz w:val="24"/>
          <w:szCs w:val="24"/>
          <w:lang w:eastAsia="ar-SA"/>
        </w:rPr>
        <w:t xml:space="preserve">a </w:t>
      </w:r>
      <w:r w:rsidR="009B564E">
        <w:rPr>
          <w:sz w:val="24"/>
          <w:szCs w:val="24"/>
          <w:lang w:eastAsia="ar-SA"/>
        </w:rPr>
        <w:t xml:space="preserve">key challenge </w:t>
      </w:r>
      <w:r w:rsidR="00B76A79">
        <w:rPr>
          <w:sz w:val="24"/>
          <w:szCs w:val="24"/>
          <w:lang w:eastAsia="ar-SA"/>
        </w:rPr>
        <w:t xml:space="preserve">for both domestic governments and </w:t>
      </w:r>
      <w:r w:rsidR="00B76A79" w:rsidRPr="00AF5F1B">
        <w:rPr>
          <w:sz w:val="24"/>
          <w:szCs w:val="24"/>
          <w:lang w:eastAsia="ar-SA"/>
        </w:rPr>
        <w:t>the EU</w:t>
      </w:r>
      <w:r w:rsidR="00B76A79">
        <w:rPr>
          <w:sz w:val="24"/>
          <w:szCs w:val="24"/>
          <w:lang w:eastAsia="ar-SA"/>
        </w:rPr>
        <w:t xml:space="preserve"> that needs to be addressed as a matter of urgency</w:t>
      </w:r>
      <w:r w:rsidRPr="00AF5F1B">
        <w:rPr>
          <w:sz w:val="24"/>
          <w:szCs w:val="24"/>
          <w:lang w:eastAsia="ar-SA"/>
        </w:rPr>
        <w:t xml:space="preserve">. </w:t>
      </w:r>
      <w:r w:rsidR="00D1262E" w:rsidRPr="00AF5F1B">
        <w:rPr>
          <w:sz w:val="24"/>
          <w:szCs w:val="24"/>
          <w:lang w:eastAsia="ar-SA"/>
        </w:rPr>
        <w:t xml:space="preserve"> </w:t>
      </w:r>
    </w:p>
    <w:p w14:paraId="2C7F55B2" w14:textId="77777777" w:rsidR="009B564E" w:rsidRDefault="009B564E" w:rsidP="00A95ABC">
      <w:pPr>
        <w:spacing w:after="0"/>
        <w:jc w:val="both"/>
        <w:rPr>
          <w:rFonts w:eastAsia="Times New Roman" w:cs="Arial"/>
          <w:bCs/>
          <w:kern w:val="32"/>
          <w:sz w:val="24"/>
          <w:szCs w:val="24"/>
          <w:lang w:eastAsia="en-GB"/>
        </w:rPr>
      </w:pPr>
    </w:p>
    <w:p w14:paraId="0CF5C970" w14:textId="5A697368" w:rsidR="00B76A79" w:rsidRDefault="00D1262E" w:rsidP="00A95ABC">
      <w:pPr>
        <w:keepNext/>
        <w:spacing w:after="0"/>
        <w:jc w:val="both"/>
        <w:outlineLvl w:val="0"/>
        <w:rPr>
          <w:rFonts w:eastAsia="Times New Roman" w:cs="Arial"/>
          <w:bCs/>
          <w:kern w:val="32"/>
          <w:sz w:val="24"/>
          <w:szCs w:val="24"/>
          <w:lang w:eastAsia="en-GB"/>
        </w:rPr>
      </w:pPr>
      <w:r w:rsidRPr="00693272">
        <w:rPr>
          <w:rFonts w:eastAsia="Times New Roman" w:cs="Arial"/>
          <w:bCs/>
          <w:kern w:val="32"/>
          <w:sz w:val="24"/>
          <w:szCs w:val="24"/>
          <w:lang w:eastAsia="en-GB"/>
        </w:rPr>
        <w:t xml:space="preserve">This paper aims to explore </w:t>
      </w:r>
      <w:r w:rsidR="00121D50">
        <w:rPr>
          <w:rFonts w:eastAsia="Times New Roman" w:cs="Arial"/>
          <w:bCs/>
          <w:kern w:val="32"/>
          <w:sz w:val="24"/>
          <w:szCs w:val="24"/>
          <w:lang w:eastAsia="en-GB"/>
        </w:rPr>
        <w:t xml:space="preserve">how the </w:t>
      </w:r>
      <w:r w:rsidRPr="00693272">
        <w:rPr>
          <w:rFonts w:eastAsia="Times New Roman" w:cs="Arial"/>
          <w:bCs/>
          <w:kern w:val="32"/>
          <w:sz w:val="24"/>
          <w:szCs w:val="24"/>
          <w:lang w:eastAsia="en-GB"/>
        </w:rPr>
        <w:t xml:space="preserve">law </w:t>
      </w:r>
      <w:r w:rsidR="00EF58BE">
        <w:rPr>
          <w:rFonts w:eastAsia="Times New Roman" w:cs="Arial"/>
          <w:bCs/>
          <w:kern w:val="32"/>
          <w:sz w:val="24"/>
          <w:szCs w:val="24"/>
          <w:lang w:eastAsia="en-GB"/>
        </w:rPr>
        <w:t xml:space="preserve">and policy </w:t>
      </w:r>
      <w:r w:rsidR="00121D50">
        <w:rPr>
          <w:rFonts w:eastAsia="Times New Roman" w:cs="Arial"/>
          <w:bCs/>
          <w:kern w:val="32"/>
          <w:sz w:val="24"/>
          <w:szCs w:val="24"/>
          <w:lang w:eastAsia="en-GB"/>
        </w:rPr>
        <w:t xml:space="preserve">of the European Union </w:t>
      </w:r>
      <w:r w:rsidR="00B76A79">
        <w:rPr>
          <w:rFonts w:eastAsia="Times New Roman" w:cs="Arial"/>
          <w:bCs/>
          <w:kern w:val="32"/>
          <w:sz w:val="24"/>
          <w:szCs w:val="24"/>
          <w:lang w:eastAsia="en-GB"/>
        </w:rPr>
        <w:t xml:space="preserve">(EU) </w:t>
      </w:r>
      <w:r w:rsidR="00121D50">
        <w:rPr>
          <w:rFonts w:eastAsia="Times New Roman" w:cs="Arial"/>
          <w:bCs/>
          <w:kern w:val="32"/>
          <w:sz w:val="24"/>
          <w:szCs w:val="24"/>
          <w:lang w:eastAsia="en-GB"/>
        </w:rPr>
        <w:t>ha</w:t>
      </w:r>
      <w:r w:rsidR="00B0215B">
        <w:rPr>
          <w:rFonts w:eastAsia="Times New Roman" w:cs="Arial"/>
          <w:bCs/>
          <w:kern w:val="32"/>
          <w:sz w:val="24"/>
          <w:szCs w:val="24"/>
          <w:lang w:eastAsia="en-GB"/>
        </w:rPr>
        <w:t>ve</w:t>
      </w:r>
      <w:r w:rsidR="00121D50">
        <w:rPr>
          <w:rFonts w:eastAsia="Times New Roman" w:cs="Arial"/>
          <w:bCs/>
          <w:kern w:val="32"/>
          <w:sz w:val="24"/>
          <w:szCs w:val="24"/>
          <w:lang w:eastAsia="en-GB"/>
        </w:rPr>
        <w:t xml:space="preserve"> </w:t>
      </w:r>
      <w:r w:rsidRPr="00693272">
        <w:rPr>
          <w:rFonts w:eastAsia="Times New Roman" w:cs="Arial"/>
          <w:bCs/>
          <w:kern w:val="32"/>
          <w:sz w:val="24"/>
          <w:szCs w:val="24"/>
          <w:lang w:eastAsia="en-GB"/>
        </w:rPr>
        <w:t>e</w:t>
      </w:r>
      <w:r w:rsidR="00C66AC8">
        <w:rPr>
          <w:rFonts w:eastAsia="Times New Roman" w:cs="Arial"/>
          <w:bCs/>
          <w:kern w:val="32"/>
          <w:sz w:val="24"/>
          <w:szCs w:val="24"/>
          <w:lang w:eastAsia="en-GB"/>
        </w:rPr>
        <w:t>ngage</w:t>
      </w:r>
      <w:r w:rsidR="00121D50">
        <w:rPr>
          <w:rFonts w:eastAsia="Times New Roman" w:cs="Arial"/>
          <w:bCs/>
          <w:kern w:val="32"/>
          <w:sz w:val="24"/>
          <w:szCs w:val="24"/>
          <w:lang w:eastAsia="en-GB"/>
        </w:rPr>
        <w:t>d</w:t>
      </w:r>
      <w:r w:rsidR="00CF2B9E" w:rsidRPr="00693272">
        <w:rPr>
          <w:rFonts w:eastAsia="Times New Roman" w:cs="Arial"/>
          <w:bCs/>
          <w:kern w:val="32"/>
          <w:sz w:val="24"/>
          <w:szCs w:val="24"/>
          <w:lang w:eastAsia="en-GB"/>
        </w:rPr>
        <w:t xml:space="preserve">, with the </w:t>
      </w:r>
      <w:r w:rsidR="00A132E2" w:rsidRPr="00693272">
        <w:rPr>
          <w:rFonts w:eastAsia="Times New Roman" w:cs="Arial"/>
          <w:bCs/>
          <w:kern w:val="32"/>
          <w:sz w:val="24"/>
          <w:szCs w:val="24"/>
          <w:lang w:eastAsia="en-GB"/>
        </w:rPr>
        <w:t xml:space="preserve">challenges </w:t>
      </w:r>
      <w:r w:rsidRPr="00693272">
        <w:rPr>
          <w:rFonts w:eastAsia="Times New Roman" w:cs="Arial"/>
          <w:bCs/>
          <w:kern w:val="32"/>
          <w:sz w:val="24"/>
          <w:szCs w:val="24"/>
          <w:lang w:eastAsia="en-GB"/>
        </w:rPr>
        <w:t xml:space="preserve">of an ageing population. </w:t>
      </w:r>
      <w:r w:rsidR="00AF5F1B" w:rsidRPr="00693272">
        <w:rPr>
          <w:rFonts w:eastAsia="Times New Roman" w:cs="Arial"/>
          <w:bCs/>
          <w:kern w:val="32"/>
          <w:sz w:val="24"/>
          <w:szCs w:val="24"/>
          <w:lang w:eastAsia="en-GB"/>
        </w:rPr>
        <w:t xml:space="preserve"> </w:t>
      </w:r>
      <w:r w:rsidR="00A132E2" w:rsidRPr="00693272">
        <w:rPr>
          <w:sz w:val="24"/>
          <w:szCs w:val="24"/>
          <w:lang w:eastAsia="ar-SA"/>
        </w:rPr>
        <w:t xml:space="preserve">It focuses on one of </w:t>
      </w:r>
      <w:r w:rsidR="00C66AC8">
        <w:rPr>
          <w:sz w:val="24"/>
          <w:szCs w:val="24"/>
          <w:lang w:eastAsia="ar-SA"/>
        </w:rPr>
        <w:t xml:space="preserve">such </w:t>
      </w:r>
      <w:r w:rsidR="008B3F2C">
        <w:rPr>
          <w:sz w:val="24"/>
          <w:szCs w:val="24"/>
          <w:lang w:eastAsia="ar-SA"/>
        </w:rPr>
        <w:t>challenges</w:t>
      </w:r>
      <w:r w:rsidR="00A132E2" w:rsidRPr="00693272">
        <w:rPr>
          <w:sz w:val="24"/>
          <w:szCs w:val="24"/>
          <w:lang w:eastAsia="ar-SA"/>
        </w:rPr>
        <w:t xml:space="preserve">, namely the </w:t>
      </w:r>
      <w:r w:rsidR="008F2B4E">
        <w:rPr>
          <w:sz w:val="24"/>
          <w:szCs w:val="24"/>
          <w:lang w:eastAsia="ar-SA"/>
        </w:rPr>
        <w:t>L</w:t>
      </w:r>
      <w:r w:rsidR="009B564E" w:rsidRPr="00693272">
        <w:rPr>
          <w:sz w:val="24"/>
          <w:szCs w:val="24"/>
          <w:lang w:eastAsia="ar-SA"/>
        </w:rPr>
        <w:t xml:space="preserve">ong </w:t>
      </w:r>
      <w:r w:rsidR="008F2B4E">
        <w:rPr>
          <w:sz w:val="24"/>
          <w:szCs w:val="24"/>
          <w:lang w:eastAsia="ar-SA"/>
        </w:rPr>
        <w:t>T</w:t>
      </w:r>
      <w:r w:rsidR="009B564E" w:rsidRPr="00693272">
        <w:rPr>
          <w:sz w:val="24"/>
          <w:szCs w:val="24"/>
          <w:lang w:eastAsia="ar-SA"/>
        </w:rPr>
        <w:t xml:space="preserve">erm </w:t>
      </w:r>
      <w:r w:rsidR="008F2B4E">
        <w:rPr>
          <w:sz w:val="24"/>
          <w:szCs w:val="24"/>
          <w:lang w:eastAsia="ar-SA"/>
        </w:rPr>
        <w:t>C</w:t>
      </w:r>
      <w:r w:rsidR="00A132E2" w:rsidRPr="00693272">
        <w:rPr>
          <w:sz w:val="24"/>
          <w:szCs w:val="24"/>
          <w:lang w:eastAsia="ar-SA"/>
        </w:rPr>
        <w:t xml:space="preserve">are </w:t>
      </w:r>
      <w:r w:rsidR="009B564E" w:rsidRPr="00693272">
        <w:rPr>
          <w:sz w:val="24"/>
          <w:szCs w:val="24"/>
          <w:lang w:eastAsia="ar-SA"/>
        </w:rPr>
        <w:t xml:space="preserve">(LTC) </w:t>
      </w:r>
      <w:r w:rsidR="00A132E2" w:rsidRPr="00693272">
        <w:rPr>
          <w:sz w:val="24"/>
          <w:szCs w:val="24"/>
          <w:lang w:eastAsia="ar-SA"/>
        </w:rPr>
        <w:t xml:space="preserve">requirements </w:t>
      </w:r>
      <w:r w:rsidR="00763BF7" w:rsidRPr="00693272">
        <w:rPr>
          <w:sz w:val="24"/>
          <w:szCs w:val="24"/>
          <w:lang w:eastAsia="ar-SA"/>
        </w:rPr>
        <w:t>of the elderly populati</w:t>
      </w:r>
      <w:r w:rsidR="003143BB" w:rsidRPr="00693272">
        <w:rPr>
          <w:sz w:val="24"/>
          <w:szCs w:val="24"/>
          <w:lang w:eastAsia="ar-SA"/>
        </w:rPr>
        <w:t xml:space="preserve">on and its impact on </w:t>
      </w:r>
      <w:r w:rsidR="00121D50">
        <w:rPr>
          <w:sz w:val="24"/>
          <w:szCs w:val="24"/>
          <w:lang w:eastAsia="ar-SA"/>
        </w:rPr>
        <w:t xml:space="preserve">informal </w:t>
      </w:r>
      <w:r w:rsidR="003143BB" w:rsidRPr="00693272">
        <w:rPr>
          <w:sz w:val="24"/>
          <w:szCs w:val="24"/>
          <w:lang w:eastAsia="ar-SA"/>
        </w:rPr>
        <w:t>carers.</w:t>
      </w:r>
      <w:r w:rsidR="006C34EF">
        <w:rPr>
          <w:rStyle w:val="FootnoteReference"/>
          <w:sz w:val="24"/>
          <w:szCs w:val="24"/>
          <w:lang w:eastAsia="ar-SA"/>
        </w:rPr>
        <w:footnoteReference w:id="6"/>
      </w:r>
      <w:r w:rsidR="0073545D" w:rsidRPr="00693272">
        <w:rPr>
          <w:rFonts w:eastAsia="Calibri,Arial,Times New Roman" w:cs="Calibri,Arial,Times New Roman"/>
          <w:kern w:val="32"/>
          <w:sz w:val="24"/>
          <w:szCs w:val="24"/>
          <w:lang w:eastAsia="en-GB"/>
        </w:rPr>
        <w:t xml:space="preserve">  </w:t>
      </w:r>
      <w:r w:rsidRPr="00AF5F1B">
        <w:rPr>
          <w:rFonts w:eastAsia="Times New Roman" w:cs="Arial"/>
          <w:bCs/>
          <w:kern w:val="32"/>
          <w:sz w:val="24"/>
          <w:szCs w:val="24"/>
          <w:lang w:eastAsia="en-GB"/>
        </w:rPr>
        <w:t xml:space="preserve">Although the need for high quality, financial sustainable and accessible adult care services has </w:t>
      </w:r>
      <w:r w:rsidR="000065A0">
        <w:rPr>
          <w:rFonts w:eastAsia="Times New Roman" w:cs="Arial"/>
          <w:bCs/>
          <w:kern w:val="32"/>
          <w:sz w:val="24"/>
          <w:szCs w:val="24"/>
          <w:lang w:eastAsia="en-GB"/>
        </w:rPr>
        <w:t>been highlighted for some time</w:t>
      </w:r>
      <w:r w:rsidRPr="00AF5F1B">
        <w:rPr>
          <w:rFonts w:eastAsia="Times New Roman" w:cs="Arial"/>
          <w:bCs/>
          <w:kern w:val="32"/>
          <w:sz w:val="24"/>
          <w:szCs w:val="24"/>
          <w:lang w:eastAsia="en-GB"/>
        </w:rPr>
        <w:t>,</w:t>
      </w:r>
      <w:r w:rsidR="000065A0">
        <w:rPr>
          <w:rStyle w:val="FootnoteReference"/>
          <w:rFonts w:eastAsia="Times New Roman" w:cs="Arial"/>
          <w:bCs/>
          <w:kern w:val="32"/>
          <w:sz w:val="24"/>
          <w:szCs w:val="24"/>
          <w:lang w:eastAsia="en-GB"/>
        </w:rPr>
        <w:footnoteReference w:id="7"/>
      </w:r>
      <w:r w:rsidRPr="00AF5F1B">
        <w:rPr>
          <w:rFonts w:eastAsia="Times New Roman" w:cs="Arial"/>
          <w:bCs/>
          <w:kern w:val="32"/>
          <w:sz w:val="24"/>
          <w:szCs w:val="24"/>
          <w:lang w:eastAsia="en-GB"/>
        </w:rPr>
        <w:t xml:space="preserve"> progress i</w:t>
      </w:r>
      <w:r w:rsidR="006C34EF">
        <w:rPr>
          <w:rFonts w:eastAsia="Times New Roman" w:cs="Arial"/>
          <w:bCs/>
          <w:kern w:val="32"/>
          <w:sz w:val="24"/>
          <w:szCs w:val="24"/>
          <w:lang w:eastAsia="en-GB"/>
        </w:rPr>
        <w:t xml:space="preserve">n this area remains very </w:t>
      </w:r>
      <w:r w:rsidR="006C34EF">
        <w:rPr>
          <w:rFonts w:eastAsia="Times New Roman" w:cs="Arial"/>
          <w:bCs/>
          <w:kern w:val="32"/>
          <w:sz w:val="24"/>
          <w:szCs w:val="24"/>
          <w:lang w:eastAsia="en-GB"/>
        </w:rPr>
        <w:lastRenderedPageBreak/>
        <w:t>slow.</w:t>
      </w:r>
      <w:r w:rsidRPr="00AF5F1B">
        <w:rPr>
          <w:rFonts w:eastAsia="Times New Roman" w:cs="Arial"/>
          <w:bCs/>
          <w:kern w:val="32"/>
          <w:sz w:val="24"/>
          <w:szCs w:val="24"/>
          <w:lang w:eastAsia="en-GB"/>
        </w:rPr>
        <w:t xml:space="preserve"> </w:t>
      </w:r>
      <w:r w:rsidR="00F03734">
        <w:rPr>
          <w:rFonts w:eastAsia="Times New Roman" w:cs="Arial"/>
          <w:bCs/>
          <w:kern w:val="32"/>
          <w:sz w:val="24"/>
          <w:szCs w:val="24"/>
          <w:lang w:eastAsia="en-GB"/>
        </w:rPr>
        <w:t xml:space="preserve"> </w:t>
      </w:r>
      <w:r w:rsidR="00121D50">
        <w:rPr>
          <w:rFonts w:eastAsia="Times New Roman" w:cs="Arial"/>
          <w:bCs/>
          <w:kern w:val="32"/>
          <w:sz w:val="24"/>
          <w:szCs w:val="24"/>
          <w:lang w:eastAsia="en-GB"/>
        </w:rPr>
        <w:t>Yet</w:t>
      </w:r>
      <w:r w:rsidR="000065A0">
        <w:rPr>
          <w:rFonts w:eastAsia="Times New Roman" w:cs="Arial"/>
          <w:bCs/>
          <w:kern w:val="32"/>
          <w:sz w:val="24"/>
          <w:szCs w:val="24"/>
          <w:lang w:eastAsia="en-GB"/>
        </w:rPr>
        <w:t>,</w:t>
      </w:r>
      <w:r w:rsidR="003143BB">
        <w:rPr>
          <w:rFonts w:eastAsia="Times New Roman" w:cs="Arial"/>
          <w:bCs/>
          <w:kern w:val="32"/>
          <w:sz w:val="24"/>
          <w:szCs w:val="24"/>
          <w:lang w:eastAsia="en-GB"/>
        </w:rPr>
        <w:t xml:space="preserve"> it is becoming increasing clear that</w:t>
      </w:r>
      <w:r w:rsidR="00E51213">
        <w:rPr>
          <w:rFonts w:eastAsia="Times New Roman" w:cs="Arial"/>
          <w:bCs/>
          <w:kern w:val="32"/>
          <w:sz w:val="24"/>
          <w:szCs w:val="24"/>
          <w:lang w:eastAsia="en-GB"/>
        </w:rPr>
        <w:t xml:space="preserve"> “the previously held assumption that that EU law has little relevance for (…) the long-term care of older </w:t>
      </w:r>
      <w:r w:rsidR="000065A0">
        <w:rPr>
          <w:rFonts w:eastAsia="Times New Roman" w:cs="Arial"/>
          <w:bCs/>
          <w:kern w:val="32"/>
          <w:sz w:val="24"/>
          <w:szCs w:val="24"/>
          <w:lang w:eastAsia="en-GB"/>
        </w:rPr>
        <w:t>people</w:t>
      </w:r>
      <w:r w:rsidR="00E51213">
        <w:rPr>
          <w:rFonts w:eastAsia="Times New Roman" w:cs="Arial"/>
          <w:bCs/>
          <w:kern w:val="32"/>
          <w:sz w:val="24"/>
          <w:szCs w:val="24"/>
          <w:lang w:eastAsia="en-GB"/>
        </w:rPr>
        <w:t xml:space="preserve"> is increasingly under question … EU law is [now] an important element of the policy context within which changes to the long term of care for older people … are taking place.”</w:t>
      </w:r>
      <w:r w:rsidR="00E51213">
        <w:rPr>
          <w:rStyle w:val="FootnoteReference"/>
          <w:rFonts w:eastAsia="Times New Roman" w:cs="Arial"/>
          <w:bCs/>
          <w:kern w:val="32"/>
          <w:sz w:val="24"/>
          <w:szCs w:val="24"/>
          <w:lang w:eastAsia="en-GB"/>
        </w:rPr>
        <w:footnoteReference w:id="8"/>
      </w:r>
      <w:r w:rsidR="00E51213">
        <w:rPr>
          <w:rFonts w:eastAsia="Times New Roman" w:cs="Arial"/>
          <w:bCs/>
          <w:kern w:val="32"/>
          <w:sz w:val="24"/>
          <w:szCs w:val="24"/>
          <w:lang w:eastAsia="en-GB"/>
        </w:rPr>
        <w:t xml:space="preserve">  </w:t>
      </w:r>
    </w:p>
    <w:p w14:paraId="6BB364D1" w14:textId="77777777" w:rsidR="008F2B4E" w:rsidRDefault="008F2B4E" w:rsidP="00A95ABC">
      <w:pPr>
        <w:keepNext/>
        <w:spacing w:after="0"/>
        <w:jc w:val="both"/>
        <w:outlineLvl w:val="0"/>
        <w:rPr>
          <w:rFonts w:eastAsia="Times New Roman" w:cs="Arial"/>
          <w:bCs/>
          <w:kern w:val="32"/>
          <w:sz w:val="24"/>
          <w:szCs w:val="24"/>
          <w:lang w:eastAsia="en-GB"/>
        </w:rPr>
      </w:pPr>
    </w:p>
    <w:p w14:paraId="5DD32155" w14:textId="7CA6A51A" w:rsidR="00B76A79" w:rsidRDefault="000C2D77" w:rsidP="00A95ABC">
      <w:pPr>
        <w:keepNext/>
        <w:spacing w:after="0"/>
        <w:jc w:val="both"/>
        <w:outlineLvl w:val="0"/>
        <w:rPr>
          <w:rFonts w:ascii="Calibri" w:eastAsia="Times New Roman" w:hAnsi="Calibri" w:cs="Times New Roman"/>
          <w:bCs/>
          <w:sz w:val="24"/>
          <w:szCs w:val="24"/>
          <w:lang w:eastAsia="en-GB"/>
        </w:rPr>
      </w:pPr>
      <w:r>
        <w:rPr>
          <w:rFonts w:eastAsia="Calibri,Arial,Times New Roman" w:cs="Calibri,Arial,Times New Roman"/>
          <w:kern w:val="32"/>
          <w:sz w:val="24"/>
          <w:szCs w:val="24"/>
          <w:lang w:eastAsia="en-GB"/>
        </w:rPr>
        <w:t>This</w:t>
      </w:r>
      <w:r w:rsidR="006B5FA1" w:rsidRPr="006B5FA1">
        <w:rPr>
          <w:rFonts w:ascii="Calibri" w:eastAsia="Times New Roman" w:hAnsi="Calibri" w:cs="Times New Roman"/>
          <w:bCs/>
          <w:sz w:val="24"/>
          <w:szCs w:val="24"/>
          <w:lang w:eastAsia="en-GB"/>
        </w:rPr>
        <w:t xml:space="preserve"> pa</w:t>
      </w:r>
      <w:r w:rsidR="00B76A79">
        <w:rPr>
          <w:rFonts w:ascii="Calibri" w:eastAsia="Times New Roman" w:hAnsi="Calibri" w:cs="Times New Roman"/>
          <w:bCs/>
          <w:sz w:val="24"/>
          <w:szCs w:val="24"/>
          <w:lang w:eastAsia="en-GB"/>
        </w:rPr>
        <w:t xml:space="preserve">per argues that the </w:t>
      </w:r>
      <w:r w:rsidR="006B5FA1" w:rsidRPr="006B5FA1">
        <w:rPr>
          <w:rFonts w:ascii="Calibri" w:eastAsia="Times New Roman" w:hAnsi="Calibri" w:cs="Times New Roman"/>
          <w:bCs/>
          <w:sz w:val="24"/>
          <w:szCs w:val="24"/>
          <w:lang w:eastAsia="en-GB"/>
        </w:rPr>
        <w:t>EU</w:t>
      </w:r>
      <w:r w:rsidR="00B76A79">
        <w:rPr>
          <w:rFonts w:ascii="Calibri" w:eastAsia="Times New Roman" w:hAnsi="Calibri" w:cs="Times New Roman"/>
          <w:bCs/>
          <w:sz w:val="24"/>
          <w:szCs w:val="24"/>
          <w:lang w:eastAsia="en-GB"/>
        </w:rPr>
        <w:t xml:space="preserve"> has an obligation to lead policy and legislation aimed at developing a coherent strategy </w:t>
      </w:r>
      <w:r w:rsidR="00C9723C">
        <w:rPr>
          <w:rFonts w:ascii="Calibri" w:eastAsia="Times New Roman" w:hAnsi="Calibri" w:cs="Times New Roman"/>
          <w:bCs/>
          <w:sz w:val="24"/>
          <w:szCs w:val="24"/>
          <w:lang w:eastAsia="en-GB"/>
        </w:rPr>
        <w:t xml:space="preserve">and </w:t>
      </w:r>
      <w:r w:rsidR="00B76A79" w:rsidRPr="006B5FA1">
        <w:rPr>
          <w:rFonts w:ascii="Calibri" w:eastAsia="Times New Roman" w:hAnsi="Calibri" w:cs="Times New Roman"/>
          <w:bCs/>
          <w:sz w:val="24"/>
          <w:szCs w:val="24"/>
          <w:lang w:eastAsia="en-GB"/>
        </w:rPr>
        <w:t xml:space="preserve">to lead the development of </w:t>
      </w:r>
      <w:r w:rsidR="00B76A79">
        <w:rPr>
          <w:rFonts w:ascii="Calibri" w:eastAsia="Times New Roman" w:hAnsi="Calibri" w:cs="Times New Roman"/>
          <w:bCs/>
          <w:sz w:val="24"/>
          <w:szCs w:val="24"/>
          <w:lang w:eastAsia="en-GB"/>
        </w:rPr>
        <w:t xml:space="preserve">good quality, accessible, affordable and flexible provisions to </w:t>
      </w:r>
      <w:r w:rsidR="00B76A79" w:rsidRPr="006B5FA1">
        <w:rPr>
          <w:rFonts w:ascii="Calibri" w:eastAsia="Times New Roman" w:hAnsi="Calibri" w:cs="Times New Roman"/>
          <w:bCs/>
          <w:sz w:val="24"/>
          <w:szCs w:val="24"/>
          <w:lang w:eastAsia="en-GB"/>
        </w:rPr>
        <w:t>care for older citizen</w:t>
      </w:r>
      <w:r w:rsidR="00A559CD">
        <w:rPr>
          <w:rFonts w:ascii="Calibri" w:eastAsia="Times New Roman" w:hAnsi="Calibri" w:cs="Times New Roman"/>
          <w:bCs/>
          <w:sz w:val="24"/>
          <w:szCs w:val="24"/>
          <w:lang w:eastAsia="en-GB"/>
        </w:rPr>
        <w:t xml:space="preserve"> </w:t>
      </w:r>
      <w:r w:rsidR="008F2B4E">
        <w:rPr>
          <w:rFonts w:ascii="Calibri" w:eastAsia="Times New Roman" w:hAnsi="Calibri" w:cs="Times New Roman"/>
          <w:bCs/>
          <w:sz w:val="24"/>
          <w:szCs w:val="24"/>
          <w:lang w:eastAsia="en-GB"/>
        </w:rPr>
        <w:t>and</w:t>
      </w:r>
      <w:r w:rsidR="00A559CD">
        <w:rPr>
          <w:rFonts w:ascii="Calibri" w:eastAsia="Times New Roman" w:hAnsi="Calibri" w:cs="Times New Roman"/>
          <w:bCs/>
          <w:sz w:val="24"/>
          <w:szCs w:val="24"/>
          <w:lang w:eastAsia="en-GB"/>
        </w:rPr>
        <w:t xml:space="preserve"> for those who</w:t>
      </w:r>
      <w:r w:rsidR="00B76A79">
        <w:rPr>
          <w:rFonts w:ascii="Calibri" w:eastAsia="Times New Roman" w:hAnsi="Calibri" w:cs="Times New Roman"/>
          <w:bCs/>
          <w:sz w:val="24"/>
          <w:szCs w:val="24"/>
          <w:lang w:eastAsia="en-GB"/>
        </w:rPr>
        <w:t xml:space="preserve"> </w:t>
      </w:r>
      <w:r w:rsidR="008F2B4E">
        <w:rPr>
          <w:rFonts w:ascii="Calibri" w:eastAsia="Times New Roman" w:hAnsi="Calibri" w:cs="Times New Roman"/>
          <w:bCs/>
          <w:sz w:val="24"/>
          <w:szCs w:val="24"/>
          <w:lang w:eastAsia="en-GB"/>
        </w:rPr>
        <w:t xml:space="preserve">provide </w:t>
      </w:r>
      <w:r w:rsidR="00B76A79">
        <w:rPr>
          <w:rFonts w:ascii="Calibri" w:eastAsia="Times New Roman" w:hAnsi="Calibri" w:cs="Times New Roman"/>
          <w:bCs/>
          <w:sz w:val="24"/>
          <w:szCs w:val="24"/>
          <w:lang w:eastAsia="en-GB"/>
        </w:rPr>
        <w:t>care.  This can be achieved by</w:t>
      </w:r>
      <w:r w:rsidR="006B5FA1" w:rsidRPr="006B5FA1">
        <w:rPr>
          <w:rFonts w:ascii="Calibri" w:eastAsia="Times New Roman" w:hAnsi="Calibri" w:cs="Times New Roman"/>
          <w:bCs/>
          <w:sz w:val="24"/>
          <w:szCs w:val="24"/>
          <w:lang w:eastAsia="en-GB"/>
        </w:rPr>
        <w:t xml:space="preserve"> using </w:t>
      </w:r>
      <w:r w:rsidR="00B76A79">
        <w:rPr>
          <w:rFonts w:ascii="Calibri" w:eastAsia="Times New Roman" w:hAnsi="Calibri" w:cs="Times New Roman"/>
          <w:bCs/>
          <w:sz w:val="24"/>
          <w:szCs w:val="24"/>
          <w:lang w:eastAsia="en-GB"/>
        </w:rPr>
        <w:t>the EU</w:t>
      </w:r>
      <w:r w:rsidR="006B5FA1" w:rsidRPr="006B5FA1">
        <w:rPr>
          <w:rFonts w:ascii="Calibri" w:eastAsia="Times New Roman" w:hAnsi="Calibri" w:cs="Times New Roman"/>
          <w:bCs/>
          <w:sz w:val="24"/>
          <w:szCs w:val="24"/>
          <w:lang w:eastAsia="en-GB"/>
        </w:rPr>
        <w:t xml:space="preserve"> core value</w:t>
      </w:r>
      <w:r w:rsidR="008B3F2C">
        <w:rPr>
          <w:rFonts w:ascii="Calibri" w:eastAsia="Times New Roman" w:hAnsi="Calibri" w:cs="Times New Roman"/>
          <w:bCs/>
          <w:sz w:val="24"/>
          <w:szCs w:val="24"/>
          <w:lang w:eastAsia="en-GB"/>
        </w:rPr>
        <w:t>s</w:t>
      </w:r>
      <w:r w:rsidR="006B5FA1" w:rsidRPr="006B5FA1">
        <w:rPr>
          <w:rFonts w:ascii="Calibri" w:eastAsia="Times New Roman" w:hAnsi="Calibri" w:cs="Times New Roman"/>
          <w:bCs/>
          <w:sz w:val="24"/>
          <w:szCs w:val="24"/>
          <w:lang w:eastAsia="en-GB"/>
        </w:rPr>
        <w:t xml:space="preserve"> as a starting point</w:t>
      </w:r>
      <w:r w:rsidR="00B76A79">
        <w:rPr>
          <w:rFonts w:ascii="Calibri" w:eastAsia="Times New Roman" w:hAnsi="Calibri" w:cs="Times New Roman"/>
          <w:bCs/>
          <w:sz w:val="24"/>
          <w:szCs w:val="24"/>
          <w:lang w:eastAsia="en-GB"/>
        </w:rPr>
        <w:t>.</w:t>
      </w:r>
    </w:p>
    <w:p w14:paraId="5E7CF909" w14:textId="04584317" w:rsidR="00E76DC5" w:rsidRPr="008B3F2C" w:rsidRDefault="008F2B4E" w:rsidP="00A95ABC">
      <w:pPr>
        <w:keepNext/>
        <w:spacing w:after="0"/>
        <w:jc w:val="both"/>
        <w:outlineLvl w:val="0"/>
        <w:rPr>
          <w:rFonts w:eastAsia="Calibri,Arial,Times New Roman" w:cs="Calibri,Arial,Times New Roman"/>
          <w:kern w:val="32"/>
          <w:sz w:val="24"/>
          <w:szCs w:val="24"/>
          <w:lang w:eastAsia="en-GB"/>
        </w:rPr>
      </w:pPr>
      <w:r>
        <w:rPr>
          <w:rFonts w:ascii="Calibri" w:eastAsia="Times New Roman" w:hAnsi="Calibri" w:cs="Times New Roman"/>
          <w:bCs/>
          <w:sz w:val="24"/>
          <w:szCs w:val="24"/>
          <w:lang w:eastAsia="en-GB"/>
        </w:rPr>
        <w:t>It</w:t>
      </w:r>
      <w:r w:rsidR="006B5FA1">
        <w:rPr>
          <w:rFonts w:ascii="Calibri" w:eastAsia="Times New Roman" w:hAnsi="Calibri" w:cs="Times New Roman"/>
          <w:bCs/>
          <w:sz w:val="24"/>
          <w:szCs w:val="24"/>
          <w:lang w:eastAsia="en-GB"/>
        </w:rPr>
        <w:t xml:space="preserve"> is organised in </w:t>
      </w:r>
      <w:r w:rsidR="007738C6">
        <w:rPr>
          <w:rFonts w:ascii="Calibri" w:eastAsia="Times New Roman" w:hAnsi="Calibri" w:cs="Times New Roman"/>
          <w:bCs/>
          <w:sz w:val="24"/>
          <w:szCs w:val="24"/>
          <w:lang w:eastAsia="en-GB"/>
        </w:rPr>
        <w:t>three</w:t>
      </w:r>
      <w:r w:rsidR="008B3F2C">
        <w:rPr>
          <w:rFonts w:ascii="Calibri" w:eastAsia="Times New Roman" w:hAnsi="Calibri" w:cs="Times New Roman"/>
          <w:bCs/>
          <w:sz w:val="24"/>
          <w:szCs w:val="24"/>
          <w:lang w:eastAsia="en-GB"/>
        </w:rPr>
        <w:t xml:space="preserve"> main</w:t>
      </w:r>
      <w:r w:rsidR="006B5FA1">
        <w:rPr>
          <w:rFonts w:ascii="Calibri" w:eastAsia="Times New Roman" w:hAnsi="Calibri" w:cs="Times New Roman"/>
          <w:bCs/>
          <w:sz w:val="24"/>
          <w:szCs w:val="24"/>
          <w:lang w:eastAsia="en-GB"/>
        </w:rPr>
        <w:t xml:space="preserve"> sections. </w:t>
      </w:r>
      <w:r w:rsidR="008B3F2C">
        <w:rPr>
          <w:rFonts w:eastAsia="Calibri,Arial,Times New Roman" w:cs="Calibri,Arial,Times New Roman"/>
          <w:kern w:val="32"/>
          <w:sz w:val="24"/>
          <w:szCs w:val="24"/>
          <w:lang w:eastAsia="en-GB"/>
        </w:rPr>
        <w:t xml:space="preserve"> </w:t>
      </w:r>
      <w:r w:rsidR="00C66AC8" w:rsidRPr="00C66AC8">
        <w:rPr>
          <w:sz w:val="24"/>
          <w:szCs w:val="24"/>
          <w:lang w:eastAsia="ar-SA"/>
        </w:rPr>
        <w:t>Section one</w:t>
      </w:r>
      <w:r w:rsidR="003143BB" w:rsidRPr="00C66AC8">
        <w:rPr>
          <w:sz w:val="24"/>
          <w:szCs w:val="24"/>
          <w:lang w:eastAsia="ar-SA"/>
        </w:rPr>
        <w:t xml:space="preserve"> explores the meaning of Long Term Care</w:t>
      </w:r>
      <w:r>
        <w:rPr>
          <w:sz w:val="24"/>
          <w:szCs w:val="24"/>
          <w:lang w:eastAsia="ar-SA"/>
        </w:rPr>
        <w:t xml:space="preserve"> and </w:t>
      </w:r>
      <w:r w:rsidR="00ED0B2D">
        <w:rPr>
          <w:sz w:val="24"/>
          <w:szCs w:val="24"/>
          <w:lang w:eastAsia="ar-SA"/>
        </w:rPr>
        <w:t xml:space="preserve">its </w:t>
      </w:r>
      <w:r w:rsidR="00C66AC8" w:rsidRPr="00C66AC8">
        <w:rPr>
          <w:sz w:val="24"/>
          <w:szCs w:val="24"/>
          <w:lang w:eastAsia="ar-SA"/>
        </w:rPr>
        <w:t>specific</w:t>
      </w:r>
      <w:r w:rsidR="003143BB" w:rsidRPr="00C66AC8">
        <w:rPr>
          <w:sz w:val="24"/>
          <w:szCs w:val="24"/>
          <w:lang w:eastAsia="ar-SA"/>
        </w:rPr>
        <w:t xml:space="preserve"> </w:t>
      </w:r>
      <w:r w:rsidR="00C66AC8" w:rsidRPr="00C66AC8">
        <w:rPr>
          <w:sz w:val="24"/>
          <w:szCs w:val="24"/>
          <w:lang w:eastAsia="ar-SA"/>
        </w:rPr>
        <w:t>challenges</w:t>
      </w:r>
      <w:r w:rsidR="00A559CD">
        <w:rPr>
          <w:sz w:val="24"/>
          <w:szCs w:val="24"/>
          <w:lang w:eastAsia="ar-SA"/>
        </w:rPr>
        <w:t xml:space="preserve"> for the EU</w:t>
      </w:r>
      <w:r w:rsidR="003143BB" w:rsidRPr="00C66AC8">
        <w:rPr>
          <w:sz w:val="24"/>
          <w:szCs w:val="24"/>
          <w:lang w:eastAsia="ar-SA"/>
        </w:rPr>
        <w:t xml:space="preserve">; </w:t>
      </w:r>
      <w:r w:rsidR="00C66AC8" w:rsidRPr="00C66AC8">
        <w:rPr>
          <w:sz w:val="24"/>
          <w:szCs w:val="24"/>
          <w:lang w:eastAsia="ar-SA"/>
        </w:rPr>
        <w:t xml:space="preserve">against this background, </w:t>
      </w:r>
      <w:r w:rsidR="003143BB" w:rsidRPr="00C66AC8">
        <w:rPr>
          <w:sz w:val="24"/>
          <w:szCs w:val="24"/>
          <w:lang w:eastAsia="ar-SA"/>
        </w:rPr>
        <w:t xml:space="preserve">the second </w:t>
      </w:r>
      <w:r w:rsidR="00C66AC8" w:rsidRPr="00C66AC8">
        <w:rPr>
          <w:sz w:val="24"/>
          <w:szCs w:val="24"/>
          <w:lang w:eastAsia="ar-SA"/>
        </w:rPr>
        <w:t xml:space="preserve">section </w:t>
      </w:r>
      <w:r w:rsidR="00ED0B2D">
        <w:rPr>
          <w:sz w:val="24"/>
          <w:szCs w:val="24"/>
          <w:lang w:eastAsia="ar-SA"/>
        </w:rPr>
        <w:t>focuses on the rationale behind the</w:t>
      </w:r>
      <w:r w:rsidR="00C66AC8" w:rsidRPr="00C66AC8">
        <w:rPr>
          <w:sz w:val="24"/>
          <w:szCs w:val="24"/>
          <w:lang w:eastAsia="ar-SA"/>
        </w:rPr>
        <w:t xml:space="preserve"> </w:t>
      </w:r>
      <w:r w:rsidR="003143BB" w:rsidRPr="00C66AC8">
        <w:rPr>
          <w:sz w:val="24"/>
          <w:szCs w:val="24"/>
          <w:lang w:eastAsia="ar-SA"/>
        </w:rPr>
        <w:t xml:space="preserve">EU </w:t>
      </w:r>
      <w:r w:rsidR="00ED0B2D">
        <w:rPr>
          <w:sz w:val="24"/>
          <w:szCs w:val="24"/>
          <w:lang w:eastAsia="ar-SA"/>
        </w:rPr>
        <w:t>engagement</w:t>
      </w:r>
      <w:r w:rsidR="003143BB" w:rsidRPr="00C66AC8">
        <w:rPr>
          <w:sz w:val="24"/>
          <w:szCs w:val="24"/>
          <w:lang w:eastAsia="ar-SA"/>
        </w:rPr>
        <w:t xml:space="preserve"> with </w:t>
      </w:r>
      <w:r w:rsidR="00C66AC8" w:rsidRPr="00C66AC8">
        <w:rPr>
          <w:sz w:val="24"/>
          <w:szCs w:val="24"/>
          <w:lang w:eastAsia="ar-SA"/>
        </w:rPr>
        <w:t>eldercare</w:t>
      </w:r>
      <w:r w:rsidR="003143BB" w:rsidRPr="00C66AC8">
        <w:rPr>
          <w:sz w:val="24"/>
          <w:szCs w:val="24"/>
          <w:lang w:eastAsia="ar-SA"/>
        </w:rPr>
        <w:t xml:space="preserve"> and the third </w:t>
      </w:r>
      <w:r w:rsidR="00C66AC8" w:rsidRPr="00C66AC8">
        <w:rPr>
          <w:sz w:val="24"/>
          <w:szCs w:val="24"/>
          <w:lang w:eastAsia="ar-SA"/>
        </w:rPr>
        <w:t xml:space="preserve">section </w:t>
      </w:r>
      <w:r w:rsidR="003143BB" w:rsidRPr="00C66AC8">
        <w:rPr>
          <w:sz w:val="24"/>
          <w:szCs w:val="24"/>
          <w:lang w:eastAsia="ar-SA"/>
        </w:rPr>
        <w:t>review</w:t>
      </w:r>
      <w:r w:rsidR="00C66AC8" w:rsidRPr="00C66AC8">
        <w:rPr>
          <w:sz w:val="24"/>
          <w:szCs w:val="24"/>
          <w:lang w:eastAsia="ar-SA"/>
        </w:rPr>
        <w:t>s</w:t>
      </w:r>
      <w:r w:rsidR="003143BB" w:rsidRPr="00C66AC8">
        <w:rPr>
          <w:sz w:val="24"/>
          <w:szCs w:val="24"/>
          <w:lang w:eastAsia="ar-SA"/>
        </w:rPr>
        <w:t xml:space="preserve"> the position of the EU</w:t>
      </w:r>
      <w:r w:rsidR="00C66AC8" w:rsidRPr="00C66AC8">
        <w:rPr>
          <w:sz w:val="24"/>
          <w:szCs w:val="24"/>
          <w:lang w:eastAsia="ar-SA"/>
        </w:rPr>
        <w:t xml:space="preserve"> in this area</w:t>
      </w:r>
      <w:r w:rsidR="003143BB" w:rsidRPr="00C66AC8">
        <w:rPr>
          <w:sz w:val="24"/>
          <w:szCs w:val="24"/>
          <w:lang w:eastAsia="ar-SA"/>
        </w:rPr>
        <w:t>.  In light of this discussion</w:t>
      </w:r>
      <w:r w:rsidR="00C66AC8" w:rsidRPr="00C66AC8">
        <w:rPr>
          <w:sz w:val="24"/>
          <w:szCs w:val="24"/>
          <w:lang w:eastAsia="ar-SA"/>
        </w:rPr>
        <w:t>, this paper concludes by seeking to devise a workable model</w:t>
      </w:r>
      <w:r w:rsidR="00ED0B2D">
        <w:rPr>
          <w:sz w:val="24"/>
          <w:szCs w:val="24"/>
          <w:lang w:eastAsia="ar-SA"/>
        </w:rPr>
        <w:t xml:space="preserve"> and a way forward</w:t>
      </w:r>
      <w:r w:rsidR="00C66AC8" w:rsidRPr="00C66AC8">
        <w:rPr>
          <w:sz w:val="24"/>
          <w:szCs w:val="24"/>
          <w:lang w:eastAsia="ar-SA"/>
        </w:rPr>
        <w:t xml:space="preserve">. </w:t>
      </w:r>
      <w:r w:rsidR="003143BB" w:rsidRPr="00C66AC8">
        <w:rPr>
          <w:sz w:val="24"/>
          <w:szCs w:val="24"/>
          <w:lang w:eastAsia="ar-SA"/>
        </w:rPr>
        <w:t xml:space="preserve"> </w:t>
      </w:r>
    </w:p>
    <w:p w14:paraId="4CB8CA8E" w14:textId="77777777" w:rsidR="00C13493" w:rsidRDefault="00C13493" w:rsidP="00A95ABC">
      <w:pPr>
        <w:spacing w:after="0"/>
        <w:jc w:val="both"/>
        <w:rPr>
          <w:b/>
          <w:sz w:val="24"/>
          <w:szCs w:val="24"/>
          <w:lang w:eastAsia="ar-SA"/>
        </w:rPr>
      </w:pPr>
    </w:p>
    <w:p w14:paraId="5632B875" w14:textId="27C7A454" w:rsidR="007C28CF" w:rsidRPr="00BA1C94" w:rsidRDefault="007C28CF" w:rsidP="00A95ABC">
      <w:pPr>
        <w:pStyle w:val="ListParagraph"/>
        <w:numPr>
          <w:ilvl w:val="0"/>
          <w:numId w:val="6"/>
        </w:numPr>
        <w:spacing w:after="0"/>
        <w:jc w:val="both"/>
        <w:rPr>
          <w:b/>
          <w:sz w:val="24"/>
          <w:szCs w:val="24"/>
          <w:lang w:eastAsia="ar-SA"/>
        </w:rPr>
      </w:pPr>
      <w:r w:rsidRPr="00BA1C94">
        <w:rPr>
          <w:b/>
          <w:sz w:val="24"/>
          <w:szCs w:val="24"/>
          <w:lang w:eastAsia="ar-SA"/>
        </w:rPr>
        <w:t xml:space="preserve">Long Term Care </w:t>
      </w:r>
      <w:r w:rsidR="005F6B56" w:rsidRPr="00BA1C94">
        <w:rPr>
          <w:b/>
          <w:sz w:val="24"/>
          <w:szCs w:val="24"/>
          <w:lang w:eastAsia="ar-SA"/>
        </w:rPr>
        <w:t xml:space="preserve">and its </w:t>
      </w:r>
      <w:r w:rsidR="00F538D3" w:rsidRPr="00BA1C94">
        <w:rPr>
          <w:b/>
          <w:sz w:val="24"/>
          <w:szCs w:val="24"/>
          <w:lang w:eastAsia="ar-SA"/>
        </w:rPr>
        <w:t>challenges</w:t>
      </w:r>
    </w:p>
    <w:p w14:paraId="00A536BC" w14:textId="28A02111" w:rsidR="000C2D77" w:rsidRDefault="00C66AC8" w:rsidP="00A95ABC">
      <w:pPr>
        <w:spacing w:after="0"/>
        <w:jc w:val="both"/>
        <w:rPr>
          <w:sz w:val="24"/>
          <w:szCs w:val="24"/>
          <w:lang w:eastAsia="ar-SA"/>
        </w:rPr>
      </w:pPr>
      <w:r>
        <w:rPr>
          <w:sz w:val="24"/>
          <w:szCs w:val="24"/>
          <w:lang w:eastAsia="ar-SA"/>
        </w:rPr>
        <w:t xml:space="preserve">Long Term Care </w:t>
      </w:r>
      <w:r w:rsidR="008B3F2C">
        <w:rPr>
          <w:sz w:val="24"/>
          <w:szCs w:val="24"/>
          <w:lang w:eastAsia="ar-SA"/>
        </w:rPr>
        <w:t xml:space="preserve">is a general term that </w:t>
      </w:r>
      <w:r>
        <w:rPr>
          <w:sz w:val="24"/>
          <w:szCs w:val="24"/>
          <w:lang w:eastAsia="ar-SA"/>
        </w:rPr>
        <w:t xml:space="preserve">indicates the support that </w:t>
      </w:r>
      <w:r w:rsidR="008B3F2C">
        <w:rPr>
          <w:sz w:val="24"/>
          <w:szCs w:val="24"/>
          <w:lang w:eastAsia="ar-SA"/>
        </w:rPr>
        <w:t xml:space="preserve">certain </w:t>
      </w:r>
      <w:r w:rsidR="00FB513B">
        <w:rPr>
          <w:sz w:val="24"/>
          <w:szCs w:val="24"/>
          <w:lang w:eastAsia="ar-SA"/>
        </w:rPr>
        <w:t>individuals</w:t>
      </w:r>
      <w:r w:rsidR="00121D50" w:rsidRPr="00121D50">
        <w:rPr>
          <w:sz w:val="24"/>
          <w:szCs w:val="24"/>
          <w:lang w:eastAsia="ar-SA"/>
        </w:rPr>
        <w:t xml:space="preserve"> </w:t>
      </w:r>
      <w:r w:rsidR="00121D50">
        <w:rPr>
          <w:sz w:val="24"/>
          <w:szCs w:val="24"/>
          <w:lang w:eastAsia="ar-SA"/>
        </w:rPr>
        <w:t>need</w:t>
      </w:r>
      <w:r w:rsidR="00B06D6D">
        <w:rPr>
          <w:sz w:val="24"/>
          <w:szCs w:val="24"/>
          <w:lang w:eastAsia="ar-SA"/>
        </w:rPr>
        <w:t>, as a result of mental and/or physical disability or old age or both,</w:t>
      </w:r>
      <w:r>
        <w:rPr>
          <w:sz w:val="24"/>
          <w:szCs w:val="24"/>
          <w:lang w:eastAsia="ar-SA"/>
        </w:rPr>
        <w:t xml:space="preserve"> </w:t>
      </w:r>
      <w:r w:rsidR="00937514">
        <w:rPr>
          <w:sz w:val="24"/>
          <w:szCs w:val="24"/>
          <w:lang w:eastAsia="ar-SA"/>
        </w:rPr>
        <w:t xml:space="preserve">over an extended period of time </w:t>
      </w:r>
      <w:r>
        <w:rPr>
          <w:sz w:val="24"/>
          <w:szCs w:val="24"/>
          <w:lang w:eastAsia="ar-SA"/>
        </w:rPr>
        <w:t xml:space="preserve">to enable them to perform </w:t>
      </w:r>
      <w:r w:rsidR="008B3F2C">
        <w:rPr>
          <w:sz w:val="24"/>
          <w:szCs w:val="24"/>
          <w:lang w:eastAsia="ar-SA"/>
        </w:rPr>
        <w:t xml:space="preserve">basic tasks </w:t>
      </w:r>
      <w:r w:rsidR="00B9446A">
        <w:rPr>
          <w:sz w:val="24"/>
          <w:szCs w:val="24"/>
          <w:lang w:eastAsia="ar-SA"/>
        </w:rPr>
        <w:t>necessary for their daily living</w:t>
      </w:r>
      <w:r>
        <w:rPr>
          <w:sz w:val="24"/>
          <w:szCs w:val="24"/>
          <w:lang w:eastAsia="ar-SA"/>
        </w:rPr>
        <w:t>.</w:t>
      </w:r>
      <w:r w:rsidR="00B9446A">
        <w:rPr>
          <w:rStyle w:val="FootnoteReference"/>
          <w:sz w:val="24"/>
          <w:szCs w:val="24"/>
          <w:lang w:eastAsia="ar-SA"/>
        </w:rPr>
        <w:footnoteReference w:id="9"/>
      </w:r>
      <w:r>
        <w:rPr>
          <w:sz w:val="24"/>
          <w:szCs w:val="24"/>
          <w:lang w:eastAsia="ar-SA"/>
        </w:rPr>
        <w:t xml:space="preserve">  </w:t>
      </w:r>
      <w:r w:rsidR="00B9446A">
        <w:rPr>
          <w:sz w:val="24"/>
          <w:szCs w:val="24"/>
          <w:lang w:eastAsia="ar-SA"/>
        </w:rPr>
        <w:t>Care</w:t>
      </w:r>
      <w:r w:rsidR="008B3F2C">
        <w:rPr>
          <w:sz w:val="24"/>
          <w:szCs w:val="24"/>
          <w:lang w:eastAsia="ar-SA"/>
        </w:rPr>
        <w:t xml:space="preserve"> means diffe</w:t>
      </w:r>
      <w:r w:rsidR="00B9446A">
        <w:rPr>
          <w:sz w:val="24"/>
          <w:szCs w:val="24"/>
          <w:lang w:eastAsia="ar-SA"/>
        </w:rPr>
        <w:t xml:space="preserve">rent things to different people: for certain people </w:t>
      </w:r>
      <w:r w:rsidR="00121D50">
        <w:rPr>
          <w:sz w:val="24"/>
          <w:szCs w:val="24"/>
          <w:lang w:eastAsia="ar-SA"/>
        </w:rPr>
        <w:t>might mean help with daily living activities (</w:t>
      </w:r>
      <w:r w:rsidR="00A9187A">
        <w:rPr>
          <w:sz w:val="24"/>
          <w:szCs w:val="24"/>
          <w:lang w:eastAsia="ar-SA"/>
        </w:rPr>
        <w:t>get out of bed and get dressed</w:t>
      </w:r>
      <w:r w:rsidR="00121D50">
        <w:rPr>
          <w:sz w:val="24"/>
          <w:szCs w:val="24"/>
          <w:lang w:eastAsia="ar-SA"/>
        </w:rPr>
        <w:t>);</w:t>
      </w:r>
      <w:r w:rsidR="00B9446A">
        <w:rPr>
          <w:sz w:val="24"/>
          <w:szCs w:val="24"/>
          <w:lang w:eastAsia="ar-SA"/>
        </w:rPr>
        <w:t xml:space="preserve"> to </w:t>
      </w:r>
      <w:r w:rsidR="00121D50">
        <w:rPr>
          <w:sz w:val="24"/>
          <w:szCs w:val="24"/>
          <w:lang w:eastAsia="ar-SA"/>
        </w:rPr>
        <w:t>some</w:t>
      </w:r>
      <w:r w:rsidR="00B9446A">
        <w:rPr>
          <w:sz w:val="24"/>
          <w:szCs w:val="24"/>
          <w:lang w:eastAsia="ar-SA"/>
        </w:rPr>
        <w:t xml:space="preserve"> </w:t>
      </w:r>
      <w:r w:rsidR="00A9187A">
        <w:rPr>
          <w:sz w:val="24"/>
          <w:szCs w:val="24"/>
          <w:lang w:eastAsia="ar-SA"/>
        </w:rPr>
        <w:t xml:space="preserve">it might mean help with </w:t>
      </w:r>
      <w:r w:rsidR="00121D50">
        <w:rPr>
          <w:sz w:val="24"/>
          <w:szCs w:val="24"/>
          <w:lang w:eastAsia="ar-SA"/>
        </w:rPr>
        <w:t xml:space="preserve">housework (cooking and shopping); </w:t>
      </w:r>
      <w:r w:rsidR="00A9187A">
        <w:rPr>
          <w:sz w:val="24"/>
          <w:szCs w:val="24"/>
          <w:lang w:eastAsia="ar-SA"/>
        </w:rPr>
        <w:t xml:space="preserve">to others </w:t>
      </w:r>
      <w:r w:rsidR="00121D50">
        <w:rPr>
          <w:sz w:val="24"/>
          <w:szCs w:val="24"/>
          <w:lang w:eastAsia="ar-SA"/>
        </w:rPr>
        <w:t xml:space="preserve">might mean company and emotional support; and to yet others, might mean </w:t>
      </w:r>
      <w:r w:rsidR="00A9187A">
        <w:rPr>
          <w:sz w:val="24"/>
          <w:szCs w:val="24"/>
          <w:lang w:eastAsia="ar-SA"/>
        </w:rPr>
        <w:t>help with caring for somebody else.</w:t>
      </w:r>
      <w:r w:rsidR="00B9446A">
        <w:rPr>
          <w:sz w:val="24"/>
          <w:szCs w:val="24"/>
          <w:lang w:eastAsia="ar-SA"/>
        </w:rPr>
        <w:t xml:space="preserve"> </w:t>
      </w:r>
      <w:r w:rsidR="00937514">
        <w:rPr>
          <w:sz w:val="24"/>
          <w:szCs w:val="24"/>
          <w:lang w:eastAsia="ar-SA"/>
        </w:rPr>
        <w:t xml:space="preserve"> </w:t>
      </w:r>
    </w:p>
    <w:p w14:paraId="14CAD78B" w14:textId="1968630A" w:rsidR="005F6B56" w:rsidRDefault="00D24E63" w:rsidP="00A95ABC">
      <w:pPr>
        <w:spacing w:after="0"/>
        <w:jc w:val="both"/>
        <w:rPr>
          <w:sz w:val="24"/>
          <w:szCs w:val="24"/>
          <w:lang w:eastAsia="ar-SA"/>
        </w:rPr>
      </w:pPr>
      <w:r>
        <w:rPr>
          <w:sz w:val="24"/>
          <w:szCs w:val="24"/>
          <w:lang w:eastAsia="ar-SA"/>
        </w:rPr>
        <w:t>Perhaps as a result of these multiple quests, a</w:t>
      </w:r>
      <w:r w:rsidR="00937514">
        <w:rPr>
          <w:sz w:val="24"/>
          <w:szCs w:val="24"/>
          <w:lang w:eastAsia="ar-SA"/>
        </w:rPr>
        <w:t>cross Europe</w:t>
      </w:r>
      <w:r w:rsidR="005F6B56">
        <w:rPr>
          <w:sz w:val="24"/>
          <w:szCs w:val="24"/>
          <w:lang w:eastAsia="ar-SA"/>
        </w:rPr>
        <w:t xml:space="preserve"> Long Term Care </w:t>
      </w:r>
      <w:r w:rsidR="00121D50">
        <w:rPr>
          <w:sz w:val="24"/>
          <w:szCs w:val="24"/>
          <w:lang w:eastAsia="ar-SA"/>
        </w:rPr>
        <w:t>has been</w:t>
      </w:r>
      <w:r w:rsidR="005F6B56">
        <w:rPr>
          <w:sz w:val="24"/>
          <w:szCs w:val="24"/>
          <w:lang w:eastAsia="ar-SA"/>
        </w:rPr>
        <w:t xml:space="preserve"> </w:t>
      </w:r>
      <w:r w:rsidR="00937514">
        <w:rPr>
          <w:sz w:val="24"/>
          <w:szCs w:val="24"/>
          <w:lang w:eastAsia="ar-SA"/>
        </w:rPr>
        <w:t xml:space="preserve">organised </w:t>
      </w:r>
      <w:r w:rsidR="00666284">
        <w:rPr>
          <w:sz w:val="24"/>
          <w:szCs w:val="24"/>
          <w:lang w:eastAsia="ar-SA"/>
        </w:rPr>
        <w:t xml:space="preserve">- </w:t>
      </w:r>
      <w:r w:rsidR="00632149">
        <w:rPr>
          <w:sz w:val="24"/>
          <w:szCs w:val="24"/>
          <w:lang w:eastAsia="ar-SA"/>
        </w:rPr>
        <w:t xml:space="preserve">and financed </w:t>
      </w:r>
      <w:r w:rsidR="00666284">
        <w:rPr>
          <w:sz w:val="24"/>
          <w:szCs w:val="24"/>
          <w:lang w:eastAsia="ar-SA"/>
        </w:rPr>
        <w:t xml:space="preserve">- </w:t>
      </w:r>
      <w:r w:rsidR="000C2D77">
        <w:rPr>
          <w:sz w:val="24"/>
          <w:szCs w:val="24"/>
          <w:lang w:eastAsia="ar-SA"/>
        </w:rPr>
        <w:t>in different ways</w:t>
      </w:r>
      <w:r w:rsidR="00121D50">
        <w:rPr>
          <w:sz w:val="24"/>
          <w:szCs w:val="24"/>
          <w:lang w:eastAsia="ar-SA"/>
        </w:rPr>
        <w:t xml:space="preserve">: </w:t>
      </w:r>
      <w:r w:rsidR="00937514">
        <w:rPr>
          <w:sz w:val="24"/>
          <w:szCs w:val="24"/>
          <w:lang w:eastAsia="ar-SA"/>
        </w:rPr>
        <w:t xml:space="preserve">as part of health care or </w:t>
      </w:r>
      <w:r w:rsidR="00121D50">
        <w:rPr>
          <w:sz w:val="24"/>
          <w:szCs w:val="24"/>
          <w:lang w:eastAsia="ar-SA"/>
        </w:rPr>
        <w:t>welfare/</w:t>
      </w:r>
      <w:r w:rsidR="00937514">
        <w:rPr>
          <w:sz w:val="24"/>
          <w:szCs w:val="24"/>
          <w:lang w:eastAsia="ar-SA"/>
        </w:rPr>
        <w:t xml:space="preserve">social care.  The latter </w:t>
      </w:r>
      <w:r w:rsidR="0091425A">
        <w:rPr>
          <w:sz w:val="24"/>
          <w:szCs w:val="24"/>
          <w:lang w:eastAsia="ar-SA"/>
        </w:rPr>
        <w:t xml:space="preserve">is the focus of this paper and, in turn, it </w:t>
      </w:r>
      <w:r w:rsidR="00937514">
        <w:rPr>
          <w:sz w:val="24"/>
          <w:szCs w:val="24"/>
          <w:lang w:eastAsia="ar-SA"/>
        </w:rPr>
        <w:t xml:space="preserve">consists of a </w:t>
      </w:r>
      <w:r w:rsidR="005F6B56">
        <w:rPr>
          <w:sz w:val="24"/>
          <w:szCs w:val="24"/>
          <w:lang w:eastAsia="ar-SA"/>
        </w:rPr>
        <w:t xml:space="preserve">combination of formal and informal </w:t>
      </w:r>
      <w:r w:rsidR="00B9446A">
        <w:rPr>
          <w:sz w:val="24"/>
          <w:szCs w:val="24"/>
          <w:lang w:eastAsia="ar-SA"/>
        </w:rPr>
        <w:t>measures</w:t>
      </w:r>
      <w:r w:rsidR="005F6B56">
        <w:rPr>
          <w:sz w:val="24"/>
          <w:szCs w:val="24"/>
          <w:lang w:eastAsia="ar-SA"/>
        </w:rPr>
        <w:t>.</w:t>
      </w:r>
      <w:r w:rsidR="005F6B56" w:rsidRPr="00AF5F1B">
        <w:rPr>
          <w:rStyle w:val="FootnoteReference"/>
          <w:rFonts w:eastAsia="Calibri,Arial,Times New Roman" w:cs="Calibri,Arial,Times New Roman"/>
          <w:sz w:val="24"/>
          <w:szCs w:val="24"/>
          <w:lang w:eastAsia="en-GB"/>
        </w:rPr>
        <w:footnoteReference w:id="10"/>
      </w:r>
      <w:r w:rsidR="005F6B56">
        <w:rPr>
          <w:sz w:val="24"/>
          <w:szCs w:val="24"/>
          <w:lang w:eastAsia="ar-SA"/>
        </w:rPr>
        <w:t xml:space="preserve">  </w:t>
      </w:r>
    </w:p>
    <w:p w14:paraId="0751C23F" w14:textId="54AC3A71" w:rsidR="005F6B56" w:rsidRPr="00F538D3" w:rsidRDefault="00C66AC8" w:rsidP="00A95ABC">
      <w:pPr>
        <w:spacing w:after="0"/>
        <w:jc w:val="both"/>
        <w:rPr>
          <w:sz w:val="24"/>
          <w:szCs w:val="24"/>
          <w:lang w:eastAsia="ar-SA"/>
        </w:rPr>
      </w:pPr>
      <w:r w:rsidRPr="00B9446A">
        <w:rPr>
          <w:i/>
          <w:sz w:val="24"/>
          <w:szCs w:val="24"/>
          <w:lang w:eastAsia="ar-SA"/>
        </w:rPr>
        <w:t>F</w:t>
      </w:r>
      <w:r w:rsidR="005F6B56" w:rsidRPr="00B9446A">
        <w:rPr>
          <w:i/>
          <w:sz w:val="24"/>
          <w:szCs w:val="24"/>
          <w:lang w:eastAsia="ar-SA"/>
        </w:rPr>
        <w:t>ormal</w:t>
      </w:r>
      <w:r w:rsidR="005F6B56">
        <w:rPr>
          <w:sz w:val="24"/>
          <w:szCs w:val="24"/>
          <w:lang w:eastAsia="ar-SA"/>
        </w:rPr>
        <w:t xml:space="preserve"> care involves a specific range of services</w:t>
      </w:r>
      <w:r w:rsidR="00B9446A">
        <w:rPr>
          <w:sz w:val="24"/>
          <w:szCs w:val="24"/>
          <w:lang w:eastAsia="ar-SA"/>
        </w:rPr>
        <w:t>,</w:t>
      </w:r>
      <w:r w:rsidR="005F6B56">
        <w:rPr>
          <w:sz w:val="24"/>
          <w:szCs w:val="24"/>
          <w:lang w:eastAsia="ar-SA"/>
        </w:rPr>
        <w:t xml:space="preserve"> </w:t>
      </w:r>
      <w:r w:rsidR="00B9446A">
        <w:rPr>
          <w:sz w:val="24"/>
          <w:szCs w:val="24"/>
          <w:lang w:eastAsia="ar-SA"/>
        </w:rPr>
        <w:t xml:space="preserve">from home help to </w:t>
      </w:r>
      <w:r w:rsidR="00C13493">
        <w:rPr>
          <w:sz w:val="24"/>
          <w:szCs w:val="24"/>
          <w:lang w:eastAsia="ar-SA"/>
        </w:rPr>
        <w:t xml:space="preserve">providing care </w:t>
      </w:r>
      <w:r w:rsidR="00B9446A">
        <w:rPr>
          <w:sz w:val="24"/>
          <w:szCs w:val="24"/>
          <w:lang w:eastAsia="ar-SA"/>
        </w:rPr>
        <w:t>in an institution</w:t>
      </w:r>
      <w:r w:rsidR="00C13493">
        <w:rPr>
          <w:sz w:val="24"/>
          <w:szCs w:val="24"/>
          <w:lang w:eastAsia="ar-SA"/>
        </w:rPr>
        <w:t>al setting</w:t>
      </w:r>
      <w:r w:rsidR="00F538D3">
        <w:rPr>
          <w:sz w:val="24"/>
          <w:szCs w:val="24"/>
          <w:lang w:eastAsia="ar-SA"/>
        </w:rPr>
        <w:t>.  P</w:t>
      </w:r>
      <w:r w:rsidR="005F6B56">
        <w:rPr>
          <w:sz w:val="24"/>
          <w:szCs w:val="24"/>
          <w:lang w:eastAsia="ar-SA"/>
        </w:rPr>
        <w:t xml:space="preserve">eople who work </w:t>
      </w:r>
      <w:r w:rsidR="0091425A">
        <w:rPr>
          <w:sz w:val="24"/>
          <w:szCs w:val="24"/>
          <w:lang w:eastAsia="ar-SA"/>
        </w:rPr>
        <w:t>to provide</w:t>
      </w:r>
      <w:r w:rsidR="005F6B56">
        <w:rPr>
          <w:sz w:val="24"/>
          <w:szCs w:val="24"/>
          <w:lang w:eastAsia="ar-SA"/>
        </w:rPr>
        <w:t xml:space="preserve"> these services are “formal” carer</w:t>
      </w:r>
      <w:r>
        <w:rPr>
          <w:sz w:val="24"/>
          <w:szCs w:val="24"/>
          <w:lang w:eastAsia="ar-SA"/>
        </w:rPr>
        <w:t>s</w:t>
      </w:r>
      <w:r w:rsidR="00801DCF">
        <w:rPr>
          <w:sz w:val="24"/>
          <w:szCs w:val="24"/>
          <w:lang w:eastAsia="ar-SA"/>
        </w:rPr>
        <w:t xml:space="preserve">: they are </w:t>
      </w:r>
      <w:r w:rsidR="00937514">
        <w:rPr>
          <w:sz w:val="24"/>
          <w:szCs w:val="24"/>
          <w:lang w:eastAsia="ar-SA"/>
        </w:rPr>
        <w:t xml:space="preserve">(poorly) </w:t>
      </w:r>
      <w:r w:rsidR="00801DCF">
        <w:rPr>
          <w:sz w:val="24"/>
          <w:szCs w:val="24"/>
          <w:lang w:eastAsia="ar-SA"/>
        </w:rPr>
        <w:t>paid and work under a contract</w:t>
      </w:r>
      <w:r w:rsidR="005F6B56">
        <w:rPr>
          <w:sz w:val="24"/>
          <w:szCs w:val="24"/>
          <w:lang w:eastAsia="ar-SA"/>
        </w:rPr>
        <w:t xml:space="preserve">. </w:t>
      </w:r>
      <w:r w:rsidR="00F538D3">
        <w:rPr>
          <w:sz w:val="24"/>
          <w:szCs w:val="24"/>
          <w:lang w:eastAsia="ar-SA"/>
        </w:rPr>
        <w:t xml:space="preserve"> </w:t>
      </w:r>
      <w:r w:rsidR="00B9446A">
        <w:rPr>
          <w:sz w:val="24"/>
          <w:szCs w:val="24"/>
          <w:lang w:eastAsia="ar-SA"/>
        </w:rPr>
        <w:t>By contrast</w:t>
      </w:r>
      <w:r w:rsidR="00F538D3">
        <w:rPr>
          <w:sz w:val="24"/>
          <w:szCs w:val="24"/>
          <w:lang w:eastAsia="ar-SA"/>
        </w:rPr>
        <w:t xml:space="preserve">, </w:t>
      </w:r>
      <w:r w:rsidR="00F538D3" w:rsidRPr="00B9446A">
        <w:rPr>
          <w:i/>
          <w:sz w:val="24"/>
          <w:szCs w:val="24"/>
          <w:lang w:eastAsia="ar-SA"/>
        </w:rPr>
        <w:t>informal</w:t>
      </w:r>
      <w:r w:rsidR="00F538D3">
        <w:rPr>
          <w:sz w:val="24"/>
          <w:szCs w:val="24"/>
          <w:lang w:eastAsia="ar-SA"/>
        </w:rPr>
        <w:t xml:space="preserve"> care is </w:t>
      </w:r>
      <w:r>
        <w:rPr>
          <w:sz w:val="24"/>
          <w:szCs w:val="24"/>
          <w:lang w:eastAsia="ar-SA"/>
        </w:rPr>
        <w:t xml:space="preserve">often </w:t>
      </w:r>
      <w:r w:rsidR="00F538D3">
        <w:rPr>
          <w:sz w:val="24"/>
          <w:szCs w:val="24"/>
          <w:lang w:eastAsia="ar-SA"/>
        </w:rPr>
        <w:t xml:space="preserve">provided </w:t>
      </w:r>
      <w:r>
        <w:rPr>
          <w:sz w:val="24"/>
          <w:szCs w:val="24"/>
          <w:lang w:eastAsia="ar-SA"/>
        </w:rPr>
        <w:t xml:space="preserve">by </w:t>
      </w:r>
      <w:r w:rsidR="005F6B56">
        <w:rPr>
          <w:sz w:val="24"/>
          <w:szCs w:val="24"/>
          <w:lang w:eastAsia="ar-SA"/>
        </w:rPr>
        <w:t>family</w:t>
      </w:r>
      <w:r w:rsidR="00494F9B">
        <w:rPr>
          <w:sz w:val="24"/>
          <w:szCs w:val="24"/>
          <w:lang w:eastAsia="ar-SA"/>
        </w:rPr>
        <w:t xml:space="preserve"> or friends</w:t>
      </w:r>
      <w:r w:rsidR="005F6B56">
        <w:rPr>
          <w:sz w:val="24"/>
          <w:szCs w:val="24"/>
          <w:lang w:eastAsia="ar-SA"/>
        </w:rPr>
        <w:t xml:space="preserve">, </w:t>
      </w:r>
      <w:r w:rsidR="00494F9B">
        <w:rPr>
          <w:sz w:val="24"/>
          <w:szCs w:val="24"/>
          <w:lang w:eastAsia="ar-SA"/>
        </w:rPr>
        <w:t>often by</w:t>
      </w:r>
      <w:r w:rsidR="005F6B56">
        <w:rPr>
          <w:sz w:val="24"/>
          <w:szCs w:val="24"/>
          <w:lang w:eastAsia="ar-SA"/>
        </w:rPr>
        <w:t xml:space="preserve"> women</w:t>
      </w:r>
      <w:r>
        <w:rPr>
          <w:sz w:val="24"/>
          <w:szCs w:val="24"/>
          <w:lang w:eastAsia="ar-SA"/>
        </w:rPr>
        <w:t xml:space="preserve">.  </w:t>
      </w:r>
      <w:r w:rsidR="00786A03">
        <w:rPr>
          <w:sz w:val="24"/>
          <w:szCs w:val="24"/>
          <w:lang w:eastAsia="ar-SA"/>
        </w:rPr>
        <w:t>Although informal carers play a</w:t>
      </w:r>
      <w:r w:rsidR="002D3FB1">
        <w:rPr>
          <w:sz w:val="24"/>
          <w:szCs w:val="24"/>
          <w:lang w:eastAsia="ar-SA"/>
        </w:rPr>
        <w:t xml:space="preserve"> </w:t>
      </w:r>
      <w:r w:rsidR="00937514">
        <w:rPr>
          <w:sz w:val="24"/>
          <w:szCs w:val="24"/>
          <w:lang w:eastAsia="ar-SA"/>
        </w:rPr>
        <w:t>key role</w:t>
      </w:r>
      <w:r w:rsidR="00786A03">
        <w:rPr>
          <w:sz w:val="24"/>
          <w:szCs w:val="24"/>
          <w:lang w:eastAsia="ar-SA"/>
        </w:rPr>
        <w:t xml:space="preserve"> </w:t>
      </w:r>
      <w:r w:rsidR="002D3FB1">
        <w:rPr>
          <w:sz w:val="24"/>
          <w:szCs w:val="24"/>
          <w:lang w:eastAsia="ar-SA"/>
        </w:rPr>
        <w:t>in delivering</w:t>
      </w:r>
      <w:r w:rsidR="00786A03">
        <w:rPr>
          <w:sz w:val="24"/>
          <w:szCs w:val="24"/>
          <w:lang w:eastAsia="ar-SA"/>
        </w:rPr>
        <w:t xml:space="preserve"> </w:t>
      </w:r>
      <w:r w:rsidR="00786A03">
        <w:rPr>
          <w:sz w:val="24"/>
          <w:szCs w:val="24"/>
          <w:lang w:eastAsia="ar-SA"/>
        </w:rPr>
        <w:lastRenderedPageBreak/>
        <w:t>high level of care,</w:t>
      </w:r>
      <w:r w:rsidR="00786A03" w:rsidRPr="0091425A">
        <w:rPr>
          <w:rStyle w:val="FootnoteReference"/>
          <w:rFonts w:cs="Times New Roman"/>
          <w:sz w:val="24"/>
          <w:szCs w:val="24"/>
        </w:rPr>
        <w:footnoteReference w:id="11"/>
      </w:r>
      <w:r w:rsidR="00786A03">
        <w:rPr>
          <w:sz w:val="24"/>
          <w:szCs w:val="24"/>
          <w:lang w:eastAsia="ar-SA"/>
        </w:rPr>
        <w:t xml:space="preserve"> they are </w:t>
      </w:r>
      <w:r w:rsidR="00846165">
        <w:rPr>
          <w:sz w:val="24"/>
          <w:szCs w:val="24"/>
          <w:lang w:eastAsia="ar-SA"/>
        </w:rPr>
        <w:t>untrained and unpaid.</w:t>
      </w:r>
      <w:r w:rsidR="005F6B56">
        <w:rPr>
          <w:rStyle w:val="FootnoteReference"/>
          <w:sz w:val="24"/>
          <w:szCs w:val="24"/>
          <w:lang w:eastAsia="ar-SA"/>
        </w:rPr>
        <w:footnoteReference w:id="12"/>
      </w:r>
      <w:r>
        <w:rPr>
          <w:sz w:val="24"/>
          <w:szCs w:val="24"/>
          <w:lang w:eastAsia="ar-SA"/>
        </w:rPr>
        <w:t xml:space="preserve">  </w:t>
      </w:r>
      <w:r w:rsidR="00494F9B">
        <w:rPr>
          <w:sz w:val="24"/>
          <w:szCs w:val="24"/>
          <w:lang w:eastAsia="ar-SA"/>
        </w:rPr>
        <w:t>I</w:t>
      </w:r>
      <w:r w:rsidR="00B9446A">
        <w:rPr>
          <w:sz w:val="24"/>
          <w:szCs w:val="24"/>
          <w:lang w:eastAsia="ar-SA"/>
        </w:rPr>
        <w:t xml:space="preserve">nformal care </w:t>
      </w:r>
      <w:r>
        <w:rPr>
          <w:sz w:val="24"/>
          <w:szCs w:val="24"/>
          <w:lang w:eastAsia="ar-SA"/>
        </w:rPr>
        <w:t>is</w:t>
      </w:r>
      <w:r w:rsidR="00494F9B">
        <w:rPr>
          <w:sz w:val="24"/>
          <w:szCs w:val="24"/>
          <w:lang w:eastAsia="ar-SA"/>
        </w:rPr>
        <w:t xml:space="preserve"> the most common approach</w:t>
      </w:r>
      <w:r>
        <w:rPr>
          <w:sz w:val="24"/>
          <w:szCs w:val="24"/>
          <w:lang w:eastAsia="ar-SA"/>
        </w:rPr>
        <w:t xml:space="preserve">, </w:t>
      </w:r>
      <w:r w:rsidR="009F46D9">
        <w:rPr>
          <w:sz w:val="24"/>
          <w:szCs w:val="24"/>
          <w:lang w:eastAsia="ar-SA"/>
        </w:rPr>
        <w:t>perhaps</w:t>
      </w:r>
      <w:r w:rsidR="00494F9B">
        <w:rPr>
          <w:sz w:val="24"/>
          <w:szCs w:val="24"/>
          <w:lang w:eastAsia="ar-SA"/>
        </w:rPr>
        <w:t xml:space="preserve"> because</w:t>
      </w:r>
      <w:r>
        <w:rPr>
          <w:sz w:val="24"/>
          <w:szCs w:val="24"/>
          <w:lang w:eastAsia="ar-SA"/>
        </w:rPr>
        <w:t xml:space="preserve"> </w:t>
      </w:r>
      <w:r w:rsidR="00494F9B">
        <w:rPr>
          <w:sz w:val="24"/>
          <w:szCs w:val="24"/>
          <w:lang w:eastAsia="ar-SA"/>
        </w:rPr>
        <w:t xml:space="preserve">it </w:t>
      </w:r>
      <w:r>
        <w:rPr>
          <w:sz w:val="24"/>
          <w:szCs w:val="24"/>
          <w:lang w:eastAsia="ar-SA"/>
        </w:rPr>
        <w:t>is perceived as</w:t>
      </w:r>
      <w:r w:rsidR="00846165">
        <w:rPr>
          <w:sz w:val="24"/>
          <w:szCs w:val="24"/>
          <w:lang w:eastAsia="ar-SA"/>
        </w:rPr>
        <w:t xml:space="preserve"> being</w:t>
      </w:r>
      <w:r>
        <w:rPr>
          <w:sz w:val="24"/>
          <w:szCs w:val="24"/>
          <w:lang w:eastAsia="ar-SA"/>
        </w:rPr>
        <w:t xml:space="preserve">, </w:t>
      </w:r>
      <w:r w:rsidR="005F6B56">
        <w:rPr>
          <w:sz w:val="24"/>
          <w:szCs w:val="24"/>
          <w:lang w:eastAsia="ar-SA"/>
        </w:rPr>
        <w:t xml:space="preserve">the only available option, or </w:t>
      </w:r>
      <w:r w:rsidR="00494F9B">
        <w:rPr>
          <w:sz w:val="24"/>
          <w:szCs w:val="24"/>
          <w:lang w:eastAsia="ar-SA"/>
        </w:rPr>
        <w:t xml:space="preserve">possibly </w:t>
      </w:r>
      <w:r w:rsidR="005F6B56">
        <w:rPr>
          <w:sz w:val="24"/>
          <w:szCs w:val="24"/>
          <w:lang w:eastAsia="ar-SA"/>
        </w:rPr>
        <w:t xml:space="preserve">because </w:t>
      </w:r>
      <w:r w:rsidR="009C49AD">
        <w:rPr>
          <w:sz w:val="24"/>
          <w:szCs w:val="24"/>
          <w:lang w:eastAsia="ar-SA"/>
        </w:rPr>
        <w:t>the parties concerned</w:t>
      </w:r>
      <w:r w:rsidR="005F6B56">
        <w:rPr>
          <w:sz w:val="24"/>
          <w:szCs w:val="24"/>
          <w:lang w:eastAsia="ar-SA"/>
        </w:rPr>
        <w:t xml:space="preserve"> prefer it</w:t>
      </w:r>
      <w:r w:rsidR="00A41DFC">
        <w:rPr>
          <w:sz w:val="24"/>
          <w:szCs w:val="24"/>
          <w:lang w:eastAsia="ar-SA"/>
        </w:rPr>
        <w:t>.</w:t>
      </w:r>
      <w:r w:rsidR="000861AE">
        <w:rPr>
          <w:rStyle w:val="FootnoteReference"/>
          <w:sz w:val="24"/>
          <w:szCs w:val="24"/>
          <w:lang w:eastAsia="ar-SA"/>
        </w:rPr>
        <w:footnoteReference w:id="13"/>
      </w:r>
      <w:r w:rsidR="005F6B56">
        <w:rPr>
          <w:sz w:val="24"/>
          <w:szCs w:val="24"/>
          <w:lang w:eastAsia="ar-SA"/>
        </w:rPr>
        <w:t xml:space="preserve"> </w:t>
      </w:r>
      <w:r w:rsidR="00A41DFC">
        <w:rPr>
          <w:sz w:val="24"/>
          <w:szCs w:val="24"/>
          <w:lang w:eastAsia="ar-SA"/>
        </w:rPr>
        <w:t>I</w:t>
      </w:r>
      <w:r w:rsidR="005F6B56" w:rsidRPr="00AF5F1B">
        <w:rPr>
          <w:rFonts w:eastAsia="Calibri,Arial,Times New Roman" w:cs="Calibri,Arial,Times New Roman"/>
          <w:kern w:val="32"/>
          <w:sz w:val="24"/>
          <w:szCs w:val="24"/>
          <w:lang w:eastAsia="en-GB"/>
        </w:rPr>
        <w:t xml:space="preserve">t is estimated that today </w:t>
      </w:r>
      <w:r w:rsidR="005F6B56" w:rsidRPr="00E720D7">
        <w:rPr>
          <w:rFonts w:eastAsia="Calibri,Arial,Times New Roman" w:cs="Calibri,Arial,Times New Roman"/>
          <w:kern w:val="32"/>
          <w:sz w:val="24"/>
          <w:szCs w:val="24"/>
          <w:lang w:eastAsia="en-GB"/>
        </w:rPr>
        <w:t xml:space="preserve">20 million </w:t>
      </w:r>
      <w:r w:rsidR="005F6B56">
        <w:rPr>
          <w:rFonts w:eastAsia="Calibri,Arial,Times New Roman" w:cs="Calibri,Arial,Times New Roman"/>
          <w:kern w:val="32"/>
          <w:sz w:val="24"/>
          <w:szCs w:val="24"/>
          <w:lang w:eastAsia="en-GB"/>
        </w:rPr>
        <w:t>of people across Europe</w:t>
      </w:r>
      <w:r w:rsidR="005F6B56" w:rsidRPr="00E720D7">
        <w:rPr>
          <w:rFonts w:eastAsia="Calibri,Arial,Times New Roman" w:cs="Calibri,Arial,Times New Roman"/>
          <w:kern w:val="32"/>
          <w:sz w:val="24"/>
          <w:szCs w:val="24"/>
          <w:lang w:eastAsia="en-GB"/>
        </w:rPr>
        <w:t xml:space="preserve"> care for older member</w:t>
      </w:r>
      <w:r w:rsidR="00B9446A">
        <w:rPr>
          <w:rFonts w:eastAsia="Calibri,Arial,Times New Roman" w:cs="Calibri,Arial,Times New Roman"/>
          <w:kern w:val="32"/>
          <w:sz w:val="24"/>
          <w:szCs w:val="24"/>
          <w:lang w:eastAsia="en-GB"/>
        </w:rPr>
        <w:t>s</w:t>
      </w:r>
      <w:r w:rsidR="005F6B56" w:rsidRPr="00E720D7">
        <w:rPr>
          <w:rFonts w:eastAsia="Calibri,Arial,Times New Roman" w:cs="Calibri,Arial,Times New Roman"/>
          <w:kern w:val="32"/>
          <w:sz w:val="24"/>
          <w:szCs w:val="24"/>
          <w:lang w:eastAsia="en-GB"/>
        </w:rPr>
        <w:t xml:space="preserve"> of their family</w:t>
      </w:r>
      <w:r w:rsidR="005F6B56" w:rsidRPr="00E720D7">
        <w:rPr>
          <w:rFonts w:eastAsia="Times New Roman" w:cs="Times New Roman"/>
          <w:sz w:val="24"/>
          <w:szCs w:val="24"/>
          <w:lang w:val="en" w:eastAsia="en-GB"/>
        </w:rPr>
        <w:t xml:space="preserve">.  </w:t>
      </w:r>
    </w:p>
    <w:p w14:paraId="6C692EC3" w14:textId="77CFDF38" w:rsidR="009C49AD" w:rsidRPr="000C2D77" w:rsidRDefault="00937514" w:rsidP="00A95ABC">
      <w:pPr>
        <w:autoSpaceDE w:val="0"/>
        <w:autoSpaceDN w:val="0"/>
        <w:adjustRightInd w:val="0"/>
        <w:spacing w:after="0"/>
        <w:jc w:val="both"/>
        <w:rPr>
          <w:rFonts w:cs="Times New Roman"/>
          <w:sz w:val="24"/>
          <w:szCs w:val="24"/>
        </w:rPr>
      </w:pPr>
      <w:r>
        <w:rPr>
          <w:sz w:val="24"/>
          <w:szCs w:val="24"/>
          <w:lang w:eastAsia="ar-SA"/>
        </w:rPr>
        <w:t>It is not the aim of this p</w:t>
      </w:r>
      <w:r w:rsidR="00F538D3" w:rsidRPr="006C34EF">
        <w:rPr>
          <w:sz w:val="24"/>
          <w:szCs w:val="24"/>
          <w:lang w:eastAsia="ar-SA"/>
        </w:rPr>
        <w:t xml:space="preserve">aper </w:t>
      </w:r>
      <w:r>
        <w:rPr>
          <w:sz w:val="24"/>
          <w:szCs w:val="24"/>
          <w:lang w:eastAsia="ar-SA"/>
        </w:rPr>
        <w:t>to</w:t>
      </w:r>
      <w:r w:rsidR="00F538D3" w:rsidRPr="006C34EF">
        <w:rPr>
          <w:sz w:val="24"/>
          <w:szCs w:val="24"/>
          <w:lang w:eastAsia="ar-SA"/>
        </w:rPr>
        <w:t xml:space="preserve"> argue </w:t>
      </w:r>
      <w:r w:rsidR="00BE2F8A">
        <w:rPr>
          <w:sz w:val="24"/>
          <w:szCs w:val="24"/>
          <w:lang w:eastAsia="ar-SA"/>
        </w:rPr>
        <w:t xml:space="preserve">that </w:t>
      </w:r>
      <w:r w:rsidR="00F538D3" w:rsidRPr="006C34EF">
        <w:rPr>
          <w:sz w:val="24"/>
          <w:szCs w:val="24"/>
          <w:lang w:eastAsia="ar-SA"/>
        </w:rPr>
        <w:t>one</w:t>
      </w:r>
      <w:r w:rsidR="00B9446A">
        <w:rPr>
          <w:sz w:val="24"/>
          <w:szCs w:val="24"/>
          <w:lang w:eastAsia="ar-SA"/>
        </w:rPr>
        <w:t xml:space="preserve"> form of care</w:t>
      </w:r>
      <w:r w:rsidR="00F538D3">
        <w:rPr>
          <w:sz w:val="24"/>
          <w:szCs w:val="24"/>
          <w:lang w:eastAsia="ar-SA"/>
        </w:rPr>
        <w:t xml:space="preserve"> should be</w:t>
      </w:r>
      <w:r w:rsidR="00F538D3" w:rsidRPr="006C34EF">
        <w:rPr>
          <w:sz w:val="24"/>
          <w:szCs w:val="24"/>
          <w:lang w:eastAsia="ar-SA"/>
        </w:rPr>
        <w:t xml:space="preserve"> preferable </w:t>
      </w:r>
      <w:r w:rsidR="00B9446A">
        <w:rPr>
          <w:sz w:val="24"/>
          <w:szCs w:val="24"/>
          <w:lang w:eastAsia="ar-SA"/>
        </w:rPr>
        <w:t xml:space="preserve">or better than </w:t>
      </w:r>
      <w:r w:rsidR="00F538D3" w:rsidRPr="006C34EF">
        <w:rPr>
          <w:sz w:val="24"/>
          <w:szCs w:val="24"/>
          <w:lang w:eastAsia="ar-SA"/>
        </w:rPr>
        <w:t xml:space="preserve">the other: </w:t>
      </w:r>
      <w:r w:rsidR="00786A03" w:rsidRPr="006C34EF">
        <w:rPr>
          <w:rFonts w:cs="Times New Roman"/>
          <w:sz w:val="24"/>
          <w:szCs w:val="24"/>
        </w:rPr>
        <w:t>the two types might substitute or complement each other</w:t>
      </w:r>
      <w:r w:rsidR="00786A03">
        <w:rPr>
          <w:rFonts w:cs="Times New Roman"/>
          <w:sz w:val="24"/>
          <w:szCs w:val="24"/>
        </w:rPr>
        <w:t xml:space="preserve"> and each case </w:t>
      </w:r>
      <w:r w:rsidRPr="00937514">
        <w:rPr>
          <w:rFonts w:cs="Times New Roman"/>
          <w:sz w:val="24"/>
          <w:szCs w:val="24"/>
        </w:rPr>
        <w:t xml:space="preserve">should be determined </w:t>
      </w:r>
      <w:r w:rsidR="00A41DFC">
        <w:rPr>
          <w:rFonts w:cs="Times New Roman"/>
          <w:sz w:val="24"/>
          <w:szCs w:val="24"/>
        </w:rPr>
        <w:t>according to</w:t>
      </w:r>
      <w:r w:rsidR="00A41DFC" w:rsidRPr="00937514">
        <w:rPr>
          <w:rFonts w:cs="Times New Roman"/>
          <w:sz w:val="24"/>
          <w:szCs w:val="24"/>
        </w:rPr>
        <w:t xml:space="preserve"> </w:t>
      </w:r>
      <w:r w:rsidRPr="00937514">
        <w:rPr>
          <w:rFonts w:cs="Times New Roman"/>
          <w:sz w:val="24"/>
          <w:szCs w:val="24"/>
        </w:rPr>
        <w:t>the needs and interests of the parties to the caring relationship in each individual case.</w:t>
      </w:r>
      <w:r w:rsidR="00C4474E">
        <w:rPr>
          <w:rStyle w:val="FootnoteReference"/>
          <w:rFonts w:cs="Times New Roman"/>
          <w:sz w:val="24"/>
          <w:szCs w:val="24"/>
        </w:rPr>
        <w:footnoteReference w:id="14"/>
      </w:r>
      <w:r w:rsidRPr="00937514">
        <w:rPr>
          <w:rFonts w:cs="Times New Roman"/>
          <w:sz w:val="24"/>
          <w:szCs w:val="24"/>
        </w:rPr>
        <w:t xml:space="preserve"> </w:t>
      </w:r>
      <w:r w:rsidR="000C2D77">
        <w:rPr>
          <w:rFonts w:cs="Times New Roman"/>
          <w:sz w:val="24"/>
          <w:szCs w:val="24"/>
        </w:rPr>
        <w:t xml:space="preserve"> Often, however, the choice element is </w:t>
      </w:r>
      <w:r w:rsidR="00A41DFC">
        <w:rPr>
          <w:rFonts w:cs="Times New Roman"/>
          <w:sz w:val="24"/>
          <w:szCs w:val="24"/>
        </w:rPr>
        <w:t>inexistent</w:t>
      </w:r>
      <w:r w:rsidR="000C2D77">
        <w:rPr>
          <w:rFonts w:cs="Times New Roman"/>
          <w:sz w:val="24"/>
          <w:szCs w:val="24"/>
        </w:rPr>
        <w:t>: for example</w:t>
      </w:r>
      <w:r w:rsidR="00786A03">
        <w:rPr>
          <w:rFonts w:cs="Times New Roman"/>
          <w:sz w:val="24"/>
          <w:szCs w:val="24"/>
        </w:rPr>
        <w:t xml:space="preserve">, the austerity </w:t>
      </w:r>
      <w:r>
        <w:rPr>
          <w:rFonts w:cs="Times New Roman"/>
          <w:sz w:val="24"/>
          <w:szCs w:val="24"/>
        </w:rPr>
        <w:t>measures</w:t>
      </w:r>
      <w:r w:rsidR="000C2D77">
        <w:rPr>
          <w:rFonts w:cs="Times New Roman"/>
          <w:sz w:val="24"/>
          <w:szCs w:val="24"/>
        </w:rPr>
        <w:t xml:space="preserve"> </w:t>
      </w:r>
      <w:r w:rsidR="00A41DFC">
        <w:rPr>
          <w:rFonts w:cs="Times New Roman"/>
          <w:sz w:val="24"/>
          <w:szCs w:val="24"/>
        </w:rPr>
        <w:t xml:space="preserve">recently </w:t>
      </w:r>
      <w:r w:rsidR="000C2D77">
        <w:rPr>
          <w:rFonts w:cs="Times New Roman"/>
          <w:sz w:val="24"/>
          <w:szCs w:val="24"/>
        </w:rPr>
        <w:t xml:space="preserve">introduced to address the financial crisis </w:t>
      </w:r>
      <w:r w:rsidR="005334D7">
        <w:rPr>
          <w:rFonts w:cs="Times New Roman"/>
          <w:sz w:val="24"/>
          <w:szCs w:val="24"/>
        </w:rPr>
        <w:t>(lack of eligibility for free or affordable care or lack of support for informal carers in the workplace)</w:t>
      </w:r>
      <w:r w:rsidR="00786A03">
        <w:rPr>
          <w:rFonts w:cs="Times New Roman"/>
          <w:sz w:val="24"/>
          <w:szCs w:val="24"/>
        </w:rPr>
        <w:t xml:space="preserve"> ha</w:t>
      </w:r>
      <w:r w:rsidR="0091425A">
        <w:rPr>
          <w:rFonts w:cs="Times New Roman"/>
          <w:sz w:val="24"/>
          <w:szCs w:val="24"/>
        </w:rPr>
        <w:t>ve had the effect to</w:t>
      </w:r>
      <w:r w:rsidR="00786A03">
        <w:rPr>
          <w:rFonts w:cs="Times New Roman"/>
          <w:sz w:val="24"/>
          <w:szCs w:val="24"/>
        </w:rPr>
        <w:t xml:space="preserve"> </w:t>
      </w:r>
      <w:r w:rsidR="00EF58BE">
        <w:rPr>
          <w:rFonts w:cs="Times New Roman"/>
          <w:sz w:val="24"/>
          <w:szCs w:val="24"/>
        </w:rPr>
        <w:t>dictate</w:t>
      </w:r>
      <w:r w:rsidR="00786A03">
        <w:rPr>
          <w:rFonts w:cs="Times New Roman"/>
          <w:sz w:val="24"/>
          <w:szCs w:val="24"/>
        </w:rPr>
        <w:t xml:space="preserve"> </w:t>
      </w:r>
      <w:r w:rsidR="0091425A">
        <w:rPr>
          <w:rFonts w:cs="Times New Roman"/>
          <w:sz w:val="24"/>
          <w:szCs w:val="24"/>
        </w:rPr>
        <w:t xml:space="preserve">the </w:t>
      </w:r>
      <w:r w:rsidR="00666284">
        <w:rPr>
          <w:rFonts w:cs="Times New Roman"/>
          <w:sz w:val="24"/>
          <w:szCs w:val="24"/>
        </w:rPr>
        <w:t>“</w:t>
      </w:r>
      <w:r w:rsidR="00786A03">
        <w:rPr>
          <w:rFonts w:cs="Times New Roman"/>
          <w:sz w:val="24"/>
          <w:szCs w:val="24"/>
        </w:rPr>
        <w:t>appropriate</w:t>
      </w:r>
      <w:r w:rsidR="00666284">
        <w:rPr>
          <w:rFonts w:cs="Times New Roman"/>
          <w:sz w:val="24"/>
          <w:szCs w:val="24"/>
        </w:rPr>
        <w:t>”</w:t>
      </w:r>
      <w:r w:rsidR="0091425A">
        <w:rPr>
          <w:rFonts w:cs="Times New Roman"/>
          <w:sz w:val="24"/>
          <w:szCs w:val="24"/>
        </w:rPr>
        <w:t xml:space="preserve"> </w:t>
      </w:r>
      <w:r w:rsidR="00666284">
        <w:rPr>
          <w:rFonts w:cs="Times New Roman"/>
          <w:sz w:val="24"/>
          <w:szCs w:val="24"/>
        </w:rPr>
        <w:t>type of care</w:t>
      </w:r>
      <w:r w:rsidR="00786A03">
        <w:rPr>
          <w:rFonts w:cs="Times New Roman"/>
          <w:sz w:val="24"/>
          <w:szCs w:val="24"/>
        </w:rPr>
        <w:t>.</w:t>
      </w:r>
      <w:r w:rsidR="006F24F2">
        <w:rPr>
          <w:rStyle w:val="FootnoteReference"/>
          <w:rFonts w:cs="Times New Roman"/>
          <w:sz w:val="24"/>
          <w:szCs w:val="24"/>
        </w:rPr>
        <w:footnoteReference w:id="15"/>
      </w:r>
      <w:r w:rsidR="00786A03">
        <w:rPr>
          <w:rFonts w:cs="Times New Roman"/>
          <w:sz w:val="24"/>
          <w:szCs w:val="24"/>
        </w:rPr>
        <w:t xml:space="preserve">  </w:t>
      </w:r>
    </w:p>
    <w:p w14:paraId="15EBDBD2" w14:textId="77777777" w:rsidR="005F6B56" w:rsidRDefault="005F6B56" w:rsidP="00A95ABC">
      <w:pPr>
        <w:spacing w:after="0"/>
        <w:jc w:val="both"/>
        <w:rPr>
          <w:rFonts w:eastAsia="Times New Roman" w:cs="Times New Roman"/>
          <w:sz w:val="24"/>
          <w:szCs w:val="24"/>
          <w:lang w:val="en" w:eastAsia="en-GB"/>
        </w:rPr>
      </w:pPr>
    </w:p>
    <w:p w14:paraId="0A761D5B" w14:textId="7CB3533D" w:rsidR="00A559CD" w:rsidRDefault="00666284" w:rsidP="00A95ABC">
      <w:pPr>
        <w:spacing w:after="0"/>
        <w:jc w:val="both"/>
        <w:rPr>
          <w:rFonts w:eastAsia="Times New Roman" w:cs="Times New Roman"/>
          <w:sz w:val="24"/>
          <w:szCs w:val="24"/>
          <w:lang w:val="en" w:eastAsia="en-GB"/>
        </w:rPr>
      </w:pPr>
      <w:r>
        <w:rPr>
          <w:sz w:val="24"/>
          <w:szCs w:val="24"/>
          <w:lang w:eastAsia="ar-SA"/>
        </w:rPr>
        <w:t xml:space="preserve">For the EU, </w:t>
      </w:r>
      <w:r w:rsidR="00C779B0" w:rsidRPr="00C779B0">
        <w:rPr>
          <w:sz w:val="24"/>
          <w:szCs w:val="24"/>
          <w:lang w:eastAsia="ar-SA"/>
        </w:rPr>
        <w:t>Long Term Care</w:t>
      </w:r>
      <w:r w:rsidR="006F24F2">
        <w:rPr>
          <w:sz w:val="24"/>
          <w:szCs w:val="24"/>
          <w:lang w:eastAsia="ar-SA"/>
        </w:rPr>
        <w:t>, whether formal or informal,</w:t>
      </w:r>
      <w:r w:rsidR="00C779B0" w:rsidRPr="00C779B0">
        <w:rPr>
          <w:sz w:val="24"/>
          <w:szCs w:val="24"/>
          <w:lang w:eastAsia="ar-SA"/>
        </w:rPr>
        <w:t xml:space="preserve"> </w:t>
      </w:r>
      <w:r w:rsidR="00C779B0" w:rsidRPr="00AF5F1B">
        <w:rPr>
          <w:rFonts w:eastAsia="Times New Roman" w:cs="Arial"/>
          <w:bCs/>
          <w:kern w:val="32"/>
          <w:sz w:val="24"/>
          <w:szCs w:val="24"/>
          <w:lang w:eastAsia="en-GB"/>
        </w:rPr>
        <w:t xml:space="preserve">presents </w:t>
      </w:r>
      <w:r w:rsidR="002D3FB1">
        <w:rPr>
          <w:rFonts w:eastAsia="Times New Roman" w:cs="Arial"/>
          <w:bCs/>
          <w:kern w:val="32"/>
          <w:sz w:val="24"/>
          <w:szCs w:val="24"/>
          <w:lang w:eastAsia="en-GB"/>
        </w:rPr>
        <w:t xml:space="preserve">very </w:t>
      </w:r>
      <w:r w:rsidR="00846165">
        <w:rPr>
          <w:rFonts w:eastAsia="Times New Roman" w:cs="Arial"/>
          <w:bCs/>
          <w:kern w:val="32"/>
          <w:sz w:val="24"/>
          <w:szCs w:val="24"/>
          <w:lang w:eastAsia="en-GB"/>
        </w:rPr>
        <w:t xml:space="preserve">specific challenges.  </w:t>
      </w:r>
      <w:r w:rsidR="006F24F2">
        <w:rPr>
          <w:sz w:val="24"/>
          <w:szCs w:val="24"/>
          <w:lang w:eastAsia="ar-SA"/>
        </w:rPr>
        <w:t>The</w:t>
      </w:r>
      <w:r w:rsidR="00B2148D">
        <w:rPr>
          <w:sz w:val="24"/>
          <w:szCs w:val="24"/>
          <w:lang w:eastAsia="ar-SA"/>
        </w:rPr>
        <w:t xml:space="preserve"> </w:t>
      </w:r>
      <w:r w:rsidR="005F6B56">
        <w:rPr>
          <w:sz w:val="24"/>
          <w:szCs w:val="24"/>
          <w:lang w:eastAsia="ar-SA"/>
        </w:rPr>
        <w:t xml:space="preserve">Council of the European </w:t>
      </w:r>
      <w:r w:rsidR="003C7C47">
        <w:rPr>
          <w:sz w:val="24"/>
          <w:szCs w:val="24"/>
          <w:lang w:eastAsia="ar-SA"/>
        </w:rPr>
        <w:t>Union</w:t>
      </w:r>
      <w:r w:rsidR="00B2148D">
        <w:rPr>
          <w:sz w:val="24"/>
          <w:szCs w:val="24"/>
          <w:lang w:eastAsia="ar-SA"/>
        </w:rPr>
        <w:t xml:space="preserve"> has </w:t>
      </w:r>
      <w:r w:rsidR="005F6B56">
        <w:rPr>
          <w:sz w:val="24"/>
          <w:szCs w:val="24"/>
          <w:lang w:eastAsia="ar-SA"/>
        </w:rPr>
        <w:t xml:space="preserve">recently </w:t>
      </w:r>
      <w:r w:rsidR="00B2148D">
        <w:rPr>
          <w:sz w:val="24"/>
          <w:szCs w:val="24"/>
          <w:lang w:eastAsia="ar-SA"/>
        </w:rPr>
        <w:t xml:space="preserve">identified </w:t>
      </w:r>
      <w:r w:rsidR="00AC17AE">
        <w:rPr>
          <w:sz w:val="24"/>
          <w:szCs w:val="24"/>
          <w:lang w:eastAsia="ar-SA"/>
        </w:rPr>
        <w:t>three.</w:t>
      </w:r>
      <w:r w:rsidR="007A02BB">
        <w:rPr>
          <w:rStyle w:val="FootnoteReference"/>
          <w:sz w:val="24"/>
          <w:szCs w:val="24"/>
          <w:lang w:eastAsia="ar-SA"/>
        </w:rPr>
        <w:footnoteReference w:id="16"/>
      </w:r>
      <w:r w:rsidR="00AC17AE">
        <w:rPr>
          <w:sz w:val="24"/>
          <w:szCs w:val="24"/>
          <w:lang w:eastAsia="ar-SA"/>
        </w:rPr>
        <w:t xml:space="preserve"> </w:t>
      </w:r>
      <w:r w:rsidR="00AC17AE">
        <w:rPr>
          <w:rFonts w:eastAsia="Times New Roman" w:cs="Arial"/>
          <w:bCs/>
          <w:kern w:val="32"/>
          <w:sz w:val="24"/>
          <w:szCs w:val="24"/>
          <w:lang w:eastAsia="en-GB"/>
        </w:rPr>
        <w:t xml:space="preserve"> </w:t>
      </w:r>
      <w:r w:rsidR="00AC17AE">
        <w:rPr>
          <w:sz w:val="24"/>
          <w:szCs w:val="24"/>
          <w:lang w:eastAsia="ar-SA"/>
        </w:rPr>
        <w:t>First, t</w:t>
      </w:r>
      <w:r w:rsidR="003C7C47">
        <w:rPr>
          <w:sz w:val="24"/>
          <w:szCs w:val="24"/>
          <w:lang w:eastAsia="ar-SA"/>
        </w:rPr>
        <w:t xml:space="preserve">he </w:t>
      </w:r>
      <w:r w:rsidR="00F538D3" w:rsidRPr="00AC17AE">
        <w:rPr>
          <w:i/>
          <w:sz w:val="24"/>
          <w:szCs w:val="24"/>
          <w:lang w:eastAsia="ar-SA"/>
        </w:rPr>
        <w:t xml:space="preserve">increasingly </w:t>
      </w:r>
      <w:r w:rsidR="003C7C47" w:rsidRPr="00AC17AE">
        <w:rPr>
          <w:i/>
          <w:sz w:val="24"/>
          <w:szCs w:val="24"/>
          <w:lang w:eastAsia="ar-SA"/>
        </w:rPr>
        <w:t xml:space="preserve">raising age of </w:t>
      </w:r>
      <w:r w:rsidR="00F538D3" w:rsidRPr="00AC17AE">
        <w:rPr>
          <w:i/>
          <w:sz w:val="24"/>
          <w:szCs w:val="24"/>
          <w:lang w:eastAsia="ar-SA"/>
        </w:rPr>
        <w:t>the population</w:t>
      </w:r>
      <w:r w:rsidR="00F538D3">
        <w:rPr>
          <w:sz w:val="24"/>
          <w:szCs w:val="24"/>
          <w:lang w:eastAsia="ar-SA"/>
        </w:rPr>
        <w:t xml:space="preserve"> </w:t>
      </w:r>
      <w:r w:rsidR="00AC17AE">
        <w:rPr>
          <w:sz w:val="24"/>
          <w:szCs w:val="24"/>
          <w:lang w:eastAsia="ar-SA"/>
        </w:rPr>
        <w:t xml:space="preserve">that </w:t>
      </w:r>
      <w:r w:rsidR="00F538D3">
        <w:rPr>
          <w:sz w:val="24"/>
          <w:szCs w:val="24"/>
          <w:lang w:eastAsia="ar-SA"/>
        </w:rPr>
        <w:t xml:space="preserve">means that </w:t>
      </w:r>
      <w:r w:rsidR="00AC17AE">
        <w:rPr>
          <w:sz w:val="24"/>
          <w:szCs w:val="24"/>
          <w:lang w:eastAsia="ar-SA"/>
        </w:rPr>
        <w:t>those in</w:t>
      </w:r>
      <w:r w:rsidR="00F538D3">
        <w:rPr>
          <w:sz w:val="24"/>
          <w:szCs w:val="24"/>
          <w:lang w:eastAsia="ar-SA"/>
        </w:rPr>
        <w:t xml:space="preserve"> need of LTC </w:t>
      </w:r>
      <w:r w:rsidR="00AC17AE">
        <w:rPr>
          <w:sz w:val="24"/>
          <w:szCs w:val="24"/>
          <w:lang w:eastAsia="ar-SA"/>
        </w:rPr>
        <w:t>are</w:t>
      </w:r>
      <w:r w:rsidR="00F538D3">
        <w:rPr>
          <w:sz w:val="24"/>
          <w:szCs w:val="24"/>
          <w:lang w:eastAsia="ar-SA"/>
        </w:rPr>
        <w:t xml:space="preserve"> expected to triple</w:t>
      </w:r>
      <w:r w:rsidR="00A85D7F">
        <w:rPr>
          <w:sz w:val="24"/>
          <w:szCs w:val="24"/>
          <w:lang w:eastAsia="ar-SA"/>
        </w:rPr>
        <w:t xml:space="preserve"> by 2060 (see Table 1)</w:t>
      </w:r>
      <w:r w:rsidR="00F538D3">
        <w:rPr>
          <w:sz w:val="24"/>
          <w:szCs w:val="24"/>
          <w:lang w:eastAsia="ar-SA"/>
        </w:rPr>
        <w:t>.</w:t>
      </w:r>
      <w:r w:rsidR="00F6274C">
        <w:rPr>
          <w:rStyle w:val="FootnoteReference"/>
          <w:sz w:val="24"/>
          <w:szCs w:val="24"/>
          <w:lang w:eastAsia="ar-SA"/>
        </w:rPr>
        <w:footnoteReference w:id="17"/>
      </w:r>
      <w:r w:rsidR="00F538D3">
        <w:rPr>
          <w:sz w:val="24"/>
          <w:szCs w:val="24"/>
          <w:lang w:eastAsia="ar-SA"/>
        </w:rPr>
        <w:t xml:space="preserve">  </w:t>
      </w:r>
      <w:r w:rsidR="00AC17AE">
        <w:rPr>
          <w:sz w:val="24"/>
          <w:szCs w:val="24"/>
          <w:lang w:eastAsia="ar-SA"/>
        </w:rPr>
        <w:t>Secondly</w:t>
      </w:r>
      <w:r w:rsidR="00F538D3">
        <w:rPr>
          <w:sz w:val="24"/>
          <w:szCs w:val="24"/>
          <w:lang w:eastAsia="ar-SA"/>
        </w:rPr>
        <w:t xml:space="preserve">, </w:t>
      </w:r>
      <w:r w:rsidR="00F538D3" w:rsidRPr="00AC17AE">
        <w:rPr>
          <w:i/>
          <w:sz w:val="24"/>
          <w:szCs w:val="24"/>
          <w:lang w:eastAsia="ar-SA"/>
        </w:rPr>
        <w:t xml:space="preserve">the </w:t>
      </w:r>
      <w:r w:rsidR="00693272" w:rsidRPr="00AC17AE">
        <w:rPr>
          <w:rFonts w:eastAsia="Times New Roman" w:cs="Times New Roman"/>
          <w:i/>
          <w:sz w:val="24"/>
          <w:szCs w:val="24"/>
          <w:lang w:val="en" w:eastAsia="en-GB"/>
        </w:rPr>
        <w:t>availability of care</w:t>
      </w:r>
      <w:r w:rsidR="00A85D7F" w:rsidRPr="00AC17AE">
        <w:rPr>
          <w:rFonts w:eastAsia="Times New Roman" w:cs="Times New Roman"/>
          <w:i/>
          <w:sz w:val="24"/>
          <w:szCs w:val="24"/>
          <w:lang w:val="en" w:eastAsia="en-GB"/>
        </w:rPr>
        <w:t>rs</w:t>
      </w:r>
      <w:r w:rsidR="00693272" w:rsidRPr="00AC17AE">
        <w:rPr>
          <w:rFonts w:eastAsia="Times New Roman" w:cs="Times New Roman"/>
          <w:i/>
          <w:sz w:val="24"/>
          <w:szCs w:val="24"/>
          <w:lang w:val="en" w:eastAsia="en-GB"/>
        </w:rPr>
        <w:t xml:space="preserve"> </w:t>
      </w:r>
      <w:r w:rsidR="00C779B0" w:rsidRPr="00AC17AE">
        <w:rPr>
          <w:rFonts w:eastAsia="Times New Roman" w:cs="Times New Roman"/>
          <w:i/>
          <w:sz w:val="24"/>
          <w:szCs w:val="24"/>
          <w:lang w:val="en" w:eastAsia="en-GB"/>
        </w:rPr>
        <w:t>is</w:t>
      </w:r>
      <w:r w:rsidR="00693272" w:rsidRPr="00AC17AE">
        <w:rPr>
          <w:rFonts w:eastAsia="Times New Roman" w:cs="Times New Roman"/>
          <w:i/>
          <w:sz w:val="24"/>
          <w:szCs w:val="24"/>
          <w:lang w:val="en" w:eastAsia="en-GB"/>
        </w:rPr>
        <w:t xml:space="preserve"> expected to decline</w:t>
      </w:r>
      <w:r w:rsidR="006F24F2">
        <w:rPr>
          <w:rFonts w:eastAsia="Times New Roman" w:cs="Times New Roman"/>
          <w:sz w:val="24"/>
          <w:szCs w:val="24"/>
          <w:lang w:val="en" w:eastAsia="en-GB"/>
        </w:rPr>
        <w:t xml:space="preserve">.  </w:t>
      </w:r>
      <w:r w:rsidR="00690F14">
        <w:rPr>
          <w:rFonts w:eastAsia="Times New Roman" w:cs="Times New Roman"/>
          <w:sz w:val="24"/>
          <w:szCs w:val="24"/>
          <w:lang w:val="en" w:eastAsia="en-GB"/>
        </w:rPr>
        <w:t>Because of the</w:t>
      </w:r>
      <w:r w:rsidR="00385852">
        <w:rPr>
          <w:rFonts w:eastAsia="Times New Roman" w:cs="Times New Roman"/>
          <w:sz w:val="24"/>
          <w:szCs w:val="24"/>
          <w:lang w:val="en" w:eastAsia="en-GB"/>
        </w:rPr>
        <w:t xml:space="preserve"> decrease in fertility rates</w:t>
      </w:r>
      <w:r w:rsidR="00690F14">
        <w:rPr>
          <w:rFonts w:eastAsia="Times New Roman" w:cs="Times New Roman"/>
          <w:sz w:val="24"/>
          <w:szCs w:val="24"/>
          <w:lang w:val="en" w:eastAsia="en-GB"/>
        </w:rPr>
        <w:t xml:space="preserve">, a 14.2% (2010-2060) decrease in the EU27’s working age population is </w:t>
      </w:r>
      <w:r w:rsidR="0071407E">
        <w:rPr>
          <w:rFonts w:eastAsia="Times New Roman" w:cs="Times New Roman"/>
          <w:sz w:val="24"/>
          <w:szCs w:val="24"/>
          <w:lang w:val="en" w:eastAsia="en-GB"/>
        </w:rPr>
        <w:t>expected;</w:t>
      </w:r>
      <w:r w:rsidR="00690F14">
        <w:rPr>
          <w:rFonts w:eastAsia="Times New Roman" w:cs="Times New Roman"/>
          <w:sz w:val="24"/>
          <w:szCs w:val="24"/>
          <w:lang w:val="en" w:eastAsia="en-GB"/>
        </w:rPr>
        <w:t xml:space="preserve"> therefore</w:t>
      </w:r>
      <w:r w:rsidR="00385852">
        <w:rPr>
          <w:rFonts w:eastAsia="Times New Roman" w:cs="Times New Roman"/>
          <w:sz w:val="24"/>
          <w:szCs w:val="24"/>
          <w:lang w:val="en" w:eastAsia="en-GB"/>
        </w:rPr>
        <w:t xml:space="preserve"> there will be less people</w:t>
      </w:r>
      <w:r w:rsidR="007A02BB">
        <w:rPr>
          <w:rFonts w:eastAsia="Times New Roman" w:cs="Times New Roman"/>
          <w:sz w:val="24"/>
          <w:szCs w:val="24"/>
          <w:lang w:val="en" w:eastAsia="en-GB"/>
        </w:rPr>
        <w:t xml:space="preserve"> able</w:t>
      </w:r>
      <w:r w:rsidR="00385852">
        <w:rPr>
          <w:rFonts w:eastAsia="Times New Roman" w:cs="Times New Roman"/>
          <w:sz w:val="24"/>
          <w:szCs w:val="24"/>
          <w:lang w:val="en" w:eastAsia="en-GB"/>
        </w:rPr>
        <w:t xml:space="preserve"> to provide formal care. </w:t>
      </w:r>
      <w:r w:rsidR="006F24F2">
        <w:rPr>
          <w:rFonts w:eastAsia="Times New Roman" w:cs="Times New Roman"/>
          <w:sz w:val="24"/>
          <w:szCs w:val="24"/>
          <w:lang w:val="en" w:eastAsia="en-GB"/>
        </w:rPr>
        <w:t xml:space="preserve"> </w:t>
      </w:r>
      <w:r w:rsidR="00385852">
        <w:rPr>
          <w:rFonts w:cs="Times New Roman"/>
          <w:sz w:val="24"/>
          <w:szCs w:val="24"/>
        </w:rPr>
        <w:t>Equally</w:t>
      </w:r>
      <w:r w:rsidR="006F24F2" w:rsidRPr="00FE32C0">
        <w:rPr>
          <w:rFonts w:cs="Times New Roman"/>
          <w:sz w:val="24"/>
          <w:szCs w:val="24"/>
        </w:rPr>
        <w:t xml:space="preserve">, the capacity of family and friends, who are currently estimated to provide around </w:t>
      </w:r>
      <w:r w:rsidR="006F24F2" w:rsidRPr="00FE32C0">
        <w:rPr>
          <w:rFonts w:cs="Times New Roman"/>
          <w:sz w:val="24"/>
          <w:szCs w:val="24"/>
        </w:rPr>
        <w:lastRenderedPageBreak/>
        <w:t>80% of care,</w:t>
      </w:r>
      <w:r w:rsidR="006F24F2" w:rsidRPr="00FE32C0">
        <w:rPr>
          <w:rStyle w:val="FootnoteReference"/>
          <w:rFonts w:cs="Times New Roman"/>
          <w:sz w:val="24"/>
          <w:szCs w:val="24"/>
        </w:rPr>
        <w:footnoteReference w:id="18"/>
      </w:r>
      <w:r w:rsidR="006F24F2" w:rsidRPr="00FE32C0">
        <w:rPr>
          <w:rFonts w:cs="Times New Roman"/>
          <w:sz w:val="24"/>
          <w:szCs w:val="24"/>
        </w:rPr>
        <w:t xml:space="preserve"> is projected to decline as a result of changes to society</w:t>
      </w:r>
      <w:r w:rsidR="00690F14">
        <w:rPr>
          <w:rFonts w:cs="Times New Roman"/>
          <w:sz w:val="24"/>
          <w:szCs w:val="24"/>
        </w:rPr>
        <w:t>, higher pensionable ages</w:t>
      </w:r>
      <w:r w:rsidR="00AD53EA">
        <w:rPr>
          <w:rFonts w:cs="Times New Roman"/>
          <w:sz w:val="24"/>
          <w:szCs w:val="24"/>
        </w:rPr>
        <w:t xml:space="preserve"> and</w:t>
      </w:r>
      <w:r w:rsidR="006F24F2" w:rsidRPr="00FE32C0">
        <w:rPr>
          <w:rFonts w:cs="Times New Roman"/>
          <w:sz w:val="24"/>
          <w:szCs w:val="24"/>
        </w:rPr>
        <w:t xml:space="preserve"> family structures: </w:t>
      </w:r>
      <w:r w:rsidR="006F24F2" w:rsidRPr="00FE32C0">
        <w:rPr>
          <w:rFonts w:eastAsia="Times New Roman" w:cs="Times New Roman"/>
          <w:sz w:val="24"/>
          <w:szCs w:val="24"/>
          <w:lang w:val="en" w:eastAsia="en-GB"/>
        </w:rPr>
        <w:t>people are having fewer children, who may also live further away from their elderly parents and are unable to provide the required care.</w:t>
      </w:r>
      <w:r w:rsidR="006F24F2" w:rsidRPr="00FE32C0">
        <w:rPr>
          <w:rStyle w:val="FootnoteReference"/>
          <w:rFonts w:eastAsia="Times New Roman" w:cs="Times New Roman"/>
          <w:sz w:val="24"/>
          <w:szCs w:val="24"/>
          <w:lang w:val="en" w:eastAsia="en-GB"/>
        </w:rPr>
        <w:footnoteReference w:id="19"/>
      </w:r>
      <w:r w:rsidR="006F24F2" w:rsidRPr="00FE32C0">
        <w:rPr>
          <w:rFonts w:cs="Times New Roman"/>
          <w:sz w:val="24"/>
          <w:szCs w:val="24"/>
        </w:rPr>
        <w:t xml:space="preserve"> </w:t>
      </w:r>
      <w:r w:rsidR="00A559CD">
        <w:rPr>
          <w:rFonts w:cs="Times New Roman"/>
          <w:sz w:val="24"/>
          <w:szCs w:val="24"/>
        </w:rPr>
        <w:t xml:space="preserve"> </w:t>
      </w:r>
      <w:r w:rsidR="006F24F2" w:rsidRPr="00FE32C0">
        <w:rPr>
          <w:rFonts w:cs="Times New Roman"/>
          <w:sz w:val="24"/>
          <w:szCs w:val="24"/>
        </w:rPr>
        <w:t>The European Commission estimates that, should no action be taken, at least 15% of necessary care will not be covered by 2020</w:t>
      </w:r>
      <w:r w:rsidR="00FE32C0">
        <w:rPr>
          <w:rFonts w:cs="Times New Roman"/>
          <w:sz w:val="24"/>
          <w:szCs w:val="24"/>
        </w:rPr>
        <w:t>.</w:t>
      </w:r>
      <w:r w:rsidR="00FE32C0" w:rsidRPr="00FE32C0">
        <w:rPr>
          <w:rStyle w:val="FootnoteReference"/>
          <w:rFonts w:eastAsia="Times New Roman" w:cs="Times New Roman"/>
          <w:sz w:val="24"/>
          <w:szCs w:val="24"/>
          <w:lang w:val="en" w:eastAsia="en-GB"/>
        </w:rPr>
        <w:footnoteReference w:id="20"/>
      </w:r>
      <w:r w:rsidR="006F24F2" w:rsidRPr="00334D72">
        <w:rPr>
          <w:rFonts w:ascii="Times New Roman" w:hAnsi="Times New Roman" w:cs="Times New Roman"/>
          <w:sz w:val="24"/>
          <w:szCs w:val="24"/>
        </w:rPr>
        <w:t xml:space="preserve"> </w:t>
      </w:r>
      <w:r w:rsidR="007A02BB">
        <w:rPr>
          <w:rFonts w:ascii="Times New Roman" w:hAnsi="Times New Roman" w:cs="Times New Roman"/>
          <w:sz w:val="24"/>
          <w:szCs w:val="24"/>
        </w:rPr>
        <w:t xml:space="preserve"> </w:t>
      </w:r>
      <w:r w:rsidR="007A02BB" w:rsidRPr="007A02BB">
        <w:rPr>
          <w:rFonts w:cs="Times New Roman"/>
          <w:sz w:val="24"/>
          <w:szCs w:val="24"/>
        </w:rPr>
        <w:t xml:space="preserve">Thirdly, </w:t>
      </w:r>
      <w:r w:rsidR="007A02BB">
        <w:rPr>
          <w:rFonts w:eastAsia="Times New Roman" w:cs="Times New Roman"/>
          <w:sz w:val="24"/>
          <w:szCs w:val="24"/>
          <w:lang w:val="en" w:eastAsia="en-GB"/>
        </w:rPr>
        <w:t>t</w:t>
      </w:r>
      <w:r w:rsidR="00FE32C0">
        <w:rPr>
          <w:rFonts w:eastAsia="Times New Roman" w:cs="Times New Roman"/>
          <w:sz w:val="24"/>
          <w:szCs w:val="24"/>
          <w:lang w:val="en" w:eastAsia="en-GB"/>
        </w:rPr>
        <w:t xml:space="preserve">he increase in the number of people needing care and the decrease in the number of people who can offer care creates the </w:t>
      </w:r>
      <w:r w:rsidR="00155DFD">
        <w:rPr>
          <w:rFonts w:eastAsia="Times New Roman" w:cs="Times New Roman"/>
          <w:sz w:val="24"/>
          <w:szCs w:val="24"/>
          <w:lang w:val="en" w:eastAsia="en-GB"/>
        </w:rPr>
        <w:t>so-</w:t>
      </w:r>
      <w:r w:rsidR="00FE32C0">
        <w:rPr>
          <w:rFonts w:eastAsia="Times New Roman" w:cs="Times New Roman"/>
          <w:sz w:val="24"/>
          <w:szCs w:val="24"/>
          <w:lang w:val="en" w:eastAsia="en-GB"/>
        </w:rPr>
        <w:t>called “care gap” which, in turn, makes it difficult to ensure</w:t>
      </w:r>
      <w:r w:rsidR="009F4797">
        <w:rPr>
          <w:rFonts w:eastAsia="Times New Roman" w:cs="Times New Roman"/>
          <w:sz w:val="24"/>
          <w:szCs w:val="24"/>
          <w:lang w:val="en" w:eastAsia="en-GB"/>
        </w:rPr>
        <w:t xml:space="preserve"> the</w:t>
      </w:r>
      <w:r w:rsidR="00FE32C0">
        <w:rPr>
          <w:rFonts w:eastAsia="Times New Roman" w:cs="Times New Roman"/>
          <w:sz w:val="24"/>
          <w:szCs w:val="24"/>
          <w:lang w:val="en" w:eastAsia="en-GB"/>
        </w:rPr>
        <w:t xml:space="preserve"> </w:t>
      </w:r>
      <w:r w:rsidR="00FE32C0" w:rsidRPr="00EF58BE">
        <w:rPr>
          <w:rFonts w:eastAsia="Times New Roman" w:cs="Times New Roman"/>
          <w:i/>
          <w:sz w:val="24"/>
          <w:szCs w:val="24"/>
          <w:lang w:val="en" w:eastAsia="en-GB"/>
        </w:rPr>
        <w:t>quality of the care</w:t>
      </w:r>
      <w:r w:rsidR="00FE32C0" w:rsidRPr="00AC17AE">
        <w:rPr>
          <w:rFonts w:eastAsia="Times New Roman" w:cs="Times New Roman"/>
          <w:i/>
          <w:sz w:val="24"/>
          <w:szCs w:val="24"/>
          <w:lang w:val="en" w:eastAsia="en-GB"/>
        </w:rPr>
        <w:t xml:space="preserve"> </w:t>
      </w:r>
      <w:r w:rsidR="00FE32C0" w:rsidRPr="00EF58BE">
        <w:rPr>
          <w:rFonts w:eastAsia="Times New Roman" w:cs="Times New Roman"/>
          <w:sz w:val="24"/>
          <w:szCs w:val="24"/>
          <w:lang w:val="en" w:eastAsia="en-GB"/>
        </w:rPr>
        <w:t>offered</w:t>
      </w:r>
      <w:r w:rsidR="00FE32C0">
        <w:rPr>
          <w:rFonts w:eastAsia="Times New Roman" w:cs="Times New Roman"/>
          <w:sz w:val="24"/>
          <w:szCs w:val="24"/>
          <w:lang w:val="en" w:eastAsia="en-GB"/>
        </w:rPr>
        <w:t xml:space="preserve">.  </w:t>
      </w:r>
    </w:p>
    <w:p w14:paraId="0B5B174C" w14:textId="5567D5E0" w:rsidR="003A5487" w:rsidRPr="003A5487" w:rsidRDefault="00385852" w:rsidP="00A95ABC">
      <w:pPr>
        <w:spacing w:after="0"/>
        <w:jc w:val="both"/>
        <w:rPr>
          <w:rFonts w:cs="Times New Roman"/>
          <w:sz w:val="24"/>
          <w:szCs w:val="24"/>
        </w:rPr>
      </w:pPr>
      <w:r>
        <w:rPr>
          <w:rFonts w:eastAsia="Times New Roman" w:cs="Times New Roman"/>
          <w:sz w:val="24"/>
          <w:szCs w:val="24"/>
          <w:lang w:val="en" w:eastAsia="en-GB"/>
        </w:rPr>
        <w:t>This brings us to a further -</w:t>
      </w:r>
      <w:r w:rsidR="00EF58BE">
        <w:rPr>
          <w:rFonts w:eastAsia="Times New Roman" w:cs="Times New Roman"/>
          <w:sz w:val="24"/>
          <w:szCs w:val="24"/>
          <w:lang w:val="en" w:eastAsia="en-GB"/>
        </w:rPr>
        <w:t xml:space="preserve"> </w:t>
      </w:r>
      <w:r>
        <w:rPr>
          <w:rFonts w:eastAsia="Times New Roman" w:cs="Times New Roman"/>
          <w:sz w:val="24"/>
          <w:szCs w:val="24"/>
          <w:lang w:val="en" w:eastAsia="en-GB"/>
        </w:rPr>
        <w:t xml:space="preserve">and </w:t>
      </w:r>
      <w:r w:rsidR="00EF58BE">
        <w:rPr>
          <w:rFonts w:eastAsia="Times New Roman" w:cs="Times New Roman"/>
          <w:sz w:val="24"/>
          <w:szCs w:val="24"/>
          <w:lang w:val="en" w:eastAsia="en-GB"/>
        </w:rPr>
        <w:t>to a certain extent less discussed</w:t>
      </w:r>
      <w:r>
        <w:rPr>
          <w:rFonts w:eastAsia="Times New Roman" w:cs="Times New Roman"/>
          <w:sz w:val="24"/>
          <w:szCs w:val="24"/>
          <w:lang w:val="en" w:eastAsia="en-GB"/>
        </w:rPr>
        <w:t xml:space="preserve"> </w:t>
      </w:r>
      <w:r w:rsidR="009F4797">
        <w:rPr>
          <w:rFonts w:eastAsia="Times New Roman" w:cs="Times New Roman"/>
          <w:sz w:val="24"/>
          <w:szCs w:val="24"/>
          <w:lang w:val="en" w:eastAsia="en-GB"/>
        </w:rPr>
        <w:t>–</w:t>
      </w:r>
      <w:r w:rsidR="00EF58BE">
        <w:rPr>
          <w:rFonts w:eastAsia="Times New Roman" w:cs="Times New Roman"/>
          <w:sz w:val="24"/>
          <w:szCs w:val="24"/>
          <w:lang w:val="en" w:eastAsia="en-GB"/>
        </w:rPr>
        <w:t xml:space="preserve"> challenge</w:t>
      </w:r>
      <w:r w:rsidR="009F4797">
        <w:rPr>
          <w:rFonts w:eastAsia="Times New Roman" w:cs="Times New Roman"/>
          <w:sz w:val="24"/>
          <w:szCs w:val="24"/>
          <w:lang w:val="en" w:eastAsia="en-GB"/>
        </w:rPr>
        <w:t>,</w:t>
      </w:r>
      <w:r w:rsidR="00EF58BE">
        <w:rPr>
          <w:rFonts w:eastAsia="Times New Roman" w:cs="Times New Roman"/>
          <w:sz w:val="24"/>
          <w:szCs w:val="24"/>
          <w:lang w:val="en" w:eastAsia="en-GB"/>
        </w:rPr>
        <w:t xml:space="preserve"> namely the acknowledgement of the </w:t>
      </w:r>
      <w:r w:rsidR="00EF58BE" w:rsidRPr="00EF58BE">
        <w:rPr>
          <w:rFonts w:eastAsia="Times New Roman" w:cs="Times New Roman"/>
          <w:sz w:val="24"/>
          <w:szCs w:val="24"/>
          <w:lang w:eastAsia="en-GB"/>
        </w:rPr>
        <w:t>the vital connection between the needs of carers and of those for whom they care</w:t>
      </w:r>
      <w:r w:rsidR="00EF58BE">
        <w:rPr>
          <w:rFonts w:eastAsia="Times New Roman" w:cs="Times New Roman"/>
          <w:sz w:val="24"/>
          <w:szCs w:val="24"/>
          <w:lang w:eastAsia="en-GB"/>
        </w:rPr>
        <w:t>.</w:t>
      </w:r>
      <w:r w:rsidR="00EF58BE">
        <w:rPr>
          <w:rStyle w:val="FootnoteReference"/>
          <w:rFonts w:eastAsia="Times New Roman" w:cs="Times New Roman"/>
          <w:sz w:val="24"/>
          <w:szCs w:val="24"/>
          <w:lang w:eastAsia="en-GB"/>
        </w:rPr>
        <w:footnoteReference w:id="21"/>
      </w:r>
      <w:r w:rsidR="00EF58BE">
        <w:rPr>
          <w:rFonts w:eastAsia="Times New Roman" w:cs="Times New Roman"/>
          <w:sz w:val="24"/>
          <w:szCs w:val="24"/>
          <w:lang w:eastAsia="en-GB"/>
        </w:rPr>
        <w:t xml:space="preserve">  In other words,</w:t>
      </w:r>
      <w:r w:rsidR="00EF58BE" w:rsidRPr="00EF58BE">
        <w:rPr>
          <w:rFonts w:eastAsia="Times New Roman" w:cs="Times New Roman"/>
          <w:sz w:val="24"/>
          <w:szCs w:val="24"/>
          <w:lang w:eastAsia="en-GB"/>
        </w:rPr>
        <w:t xml:space="preserve"> </w:t>
      </w:r>
      <w:r w:rsidR="00EF58BE">
        <w:rPr>
          <w:rFonts w:eastAsia="Times New Roman" w:cs="Times New Roman"/>
          <w:sz w:val="24"/>
          <w:szCs w:val="24"/>
          <w:lang w:eastAsia="en-GB"/>
        </w:rPr>
        <w:t xml:space="preserve">the </w:t>
      </w:r>
      <w:r w:rsidR="00EF58BE">
        <w:rPr>
          <w:rFonts w:eastAsia="Times New Roman" w:cs="Times New Roman"/>
          <w:sz w:val="24"/>
          <w:szCs w:val="24"/>
          <w:lang w:val="en" w:eastAsia="en-GB"/>
        </w:rPr>
        <w:t>role of carers is crucial to secure the wellbeing of those in receipt of care</w:t>
      </w:r>
      <w:r>
        <w:rPr>
          <w:rFonts w:eastAsia="Times New Roman" w:cs="Times New Roman"/>
          <w:sz w:val="24"/>
          <w:szCs w:val="24"/>
          <w:lang w:val="en" w:eastAsia="en-GB"/>
        </w:rPr>
        <w:t xml:space="preserve"> and therefore, in the development of a</w:t>
      </w:r>
      <w:r w:rsidR="00155DFD">
        <w:rPr>
          <w:rFonts w:eastAsia="Times New Roman" w:cs="Times New Roman"/>
          <w:sz w:val="24"/>
          <w:szCs w:val="24"/>
          <w:lang w:val="en" w:eastAsia="en-GB"/>
        </w:rPr>
        <w:t>n</w:t>
      </w:r>
      <w:r>
        <w:rPr>
          <w:rFonts w:eastAsia="Times New Roman" w:cs="Times New Roman"/>
          <w:sz w:val="24"/>
          <w:szCs w:val="24"/>
          <w:lang w:val="en" w:eastAsia="en-GB"/>
        </w:rPr>
        <w:t xml:space="preserve"> EU LTC strategy it is essential to consider and protect carers.</w:t>
      </w:r>
      <w:r w:rsidR="008F13D8">
        <w:rPr>
          <w:rStyle w:val="FootnoteReference"/>
          <w:rFonts w:eastAsia="Times New Roman" w:cs="Times New Roman"/>
          <w:sz w:val="24"/>
          <w:szCs w:val="24"/>
          <w:lang w:val="en" w:eastAsia="en-GB"/>
        </w:rPr>
        <w:footnoteReference w:id="22"/>
      </w:r>
      <w:r>
        <w:rPr>
          <w:rFonts w:eastAsia="Times New Roman" w:cs="Times New Roman"/>
          <w:sz w:val="24"/>
          <w:szCs w:val="24"/>
          <w:lang w:val="en" w:eastAsia="en-GB"/>
        </w:rPr>
        <w:t xml:space="preserve"> </w:t>
      </w:r>
      <w:r w:rsidR="00EF58BE" w:rsidRPr="00FF3904">
        <w:rPr>
          <w:rFonts w:eastAsia="Times New Roman" w:cs="Times New Roman"/>
          <w:sz w:val="24"/>
          <w:szCs w:val="24"/>
          <w:lang w:val="en" w:eastAsia="en-GB"/>
        </w:rPr>
        <w:t xml:space="preserve"> </w:t>
      </w:r>
      <w:r w:rsidR="00FB513B" w:rsidRPr="003A5487">
        <w:rPr>
          <w:rFonts w:eastAsia="Times New Roman" w:cs="Times New Roman"/>
          <w:sz w:val="24"/>
          <w:szCs w:val="24"/>
          <w:lang w:eastAsia="en-GB"/>
        </w:rPr>
        <w:t xml:space="preserve">However, although </w:t>
      </w:r>
      <w:r w:rsidR="003A5487" w:rsidRPr="003A5487">
        <w:rPr>
          <w:rFonts w:eastAsia="Times New Roman" w:cs="Times New Roman"/>
          <w:sz w:val="24"/>
          <w:szCs w:val="24"/>
          <w:lang w:eastAsia="en-GB"/>
        </w:rPr>
        <w:t xml:space="preserve">the needs of carers and cared for </w:t>
      </w:r>
      <w:r w:rsidR="00FB513B" w:rsidRPr="003A5487">
        <w:rPr>
          <w:rFonts w:eastAsia="Times New Roman" w:cs="Times New Roman"/>
          <w:sz w:val="24"/>
          <w:szCs w:val="24"/>
          <w:lang w:eastAsia="en-GB"/>
        </w:rPr>
        <w:t xml:space="preserve">are </w:t>
      </w:r>
      <w:r w:rsidR="003A5487" w:rsidRPr="003A5487">
        <w:rPr>
          <w:rFonts w:eastAsia="Times New Roman" w:cs="Times New Roman"/>
          <w:sz w:val="24"/>
          <w:szCs w:val="24"/>
          <w:lang w:eastAsia="en-GB"/>
        </w:rPr>
        <w:t>interconnected</w:t>
      </w:r>
      <w:r w:rsidR="00FB513B" w:rsidRPr="003A5487">
        <w:rPr>
          <w:rFonts w:eastAsia="Times New Roman" w:cs="Times New Roman"/>
          <w:sz w:val="24"/>
          <w:szCs w:val="24"/>
          <w:lang w:eastAsia="en-GB"/>
        </w:rPr>
        <w:t xml:space="preserve">, </w:t>
      </w:r>
      <w:r w:rsidR="003A5487" w:rsidRPr="003A5487">
        <w:rPr>
          <w:rFonts w:eastAsia="Times New Roman" w:cs="Times New Roman"/>
          <w:sz w:val="24"/>
          <w:szCs w:val="24"/>
          <w:lang w:eastAsia="en-GB"/>
        </w:rPr>
        <w:t>they deserve independent recognition</w:t>
      </w:r>
      <w:r w:rsidR="00FB513B" w:rsidRPr="003A5487">
        <w:rPr>
          <w:rFonts w:eastAsia="Times New Roman" w:cs="Times New Roman"/>
          <w:sz w:val="24"/>
          <w:szCs w:val="24"/>
          <w:lang w:eastAsia="en-GB"/>
        </w:rPr>
        <w:t xml:space="preserve"> in order to be adequately addressed: carers should not be protected because of their association with people in need</w:t>
      </w:r>
      <w:r w:rsidR="00155DFD">
        <w:rPr>
          <w:rStyle w:val="FootnoteReference"/>
          <w:rFonts w:eastAsia="Times New Roman" w:cs="Times New Roman"/>
          <w:sz w:val="24"/>
          <w:szCs w:val="24"/>
          <w:lang w:eastAsia="en-GB"/>
        </w:rPr>
        <w:footnoteReference w:id="23"/>
      </w:r>
      <w:r w:rsidR="00FB513B" w:rsidRPr="003A5487">
        <w:rPr>
          <w:rFonts w:eastAsia="Times New Roman" w:cs="Times New Roman"/>
          <w:sz w:val="24"/>
          <w:szCs w:val="24"/>
          <w:lang w:eastAsia="en-GB"/>
        </w:rPr>
        <w:t xml:space="preserve"> of care but because they are themselves a vulnerable group.  </w:t>
      </w:r>
    </w:p>
    <w:p w14:paraId="5650C579" w14:textId="77777777" w:rsidR="00EC36A4" w:rsidRDefault="00EC36A4" w:rsidP="00A95ABC">
      <w:pPr>
        <w:spacing w:after="0"/>
        <w:jc w:val="both"/>
        <w:rPr>
          <w:sz w:val="24"/>
          <w:szCs w:val="24"/>
          <w:lang w:eastAsia="ar-SA"/>
        </w:rPr>
      </w:pPr>
    </w:p>
    <w:p w14:paraId="79498A9E" w14:textId="77777777" w:rsidR="00E03A19" w:rsidRPr="00F538D3" w:rsidRDefault="00E03A19" w:rsidP="00A95ABC">
      <w:pPr>
        <w:spacing w:after="0"/>
        <w:jc w:val="both"/>
        <w:rPr>
          <w:sz w:val="24"/>
          <w:szCs w:val="24"/>
          <w:lang w:eastAsia="ar-SA"/>
        </w:rPr>
      </w:pPr>
    </w:p>
    <w:tbl>
      <w:tblPr>
        <w:tblStyle w:val="TableGrid"/>
        <w:tblW w:w="0" w:type="auto"/>
        <w:tblLook w:val="04A0" w:firstRow="1" w:lastRow="0" w:firstColumn="1" w:lastColumn="0" w:noHBand="0" w:noVBand="1"/>
      </w:tblPr>
      <w:tblGrid>
        <w:gridCol w:w="1007"/>
        <w:gridCol w:w="1003"/>
        <w:gridCol w:w="1003"/>
        <w:gridCol w:w="1007"/>
        <w:gridCol w:w="1007"/>
        <w:gridCol w:w="1007"/>
        <w:gridCol w:w="1007"/>
        <w:gridCol w:w="1007"/>
        <w:gridCol w:w="1194"/>
      </w:tblGrid>
      <w:tr w:rsidR="00342798" w14:paraId="487E4B98" w14:textId="77777777" w:rsidTr="00342798">
        <w:tc>
          <w:tcPr>
            <w:tcW w:w="1026" w:type="dxa"/>
          </w:tcPr>
          <w:p w14:paraId="67682424" w14:textId="2FA62062"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EU 27</w:t>
            </w:r>
          </w:p>
        </w:tc>
        <w:tc>
          <w:tcPr>
            <w:tcW w:w="1027" w:type="dxa"/>
          </w:tcPr>
          <w:p w14:paraId="213F7683" w14:textId="13350FE5"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2008</w:t>
            </w:r>
          </w:p>
        </w:tc>
        <w:tc>
          <w:tcPr>
            <w:tcW w:w="1027" w:type="dxa"/>
          </w:tcPr>
          <w:p w14:paraId="1AB2359E" w14:textId="75AF71D2"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2010</w:t>
            </w:r>
          </w:p>
        </w:tc>
        <w:tc>
          <w:tcPr>
            <w:tcW w:w="1027" w:type="dxa"/>
          </w:tcPr>
          <w:p w14:paraId="41BFA073" w14:textId="66AE76E1"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2020</w:t>
            </w:r>
          </w:p>
        </w:tc>
        <w:tc>
          <w:tcPr>
            <w:tcW w:w="1027" w:type="dxa"/>
          </w:tcPr>
          <w:p w14:paraId="6F7B4280" w14:textId="4E137DAA"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2030</w:t>
            </w:r>
          </w:p>
        </w:tc>
        <w:tc>
          <w:tcPr>
            <w:tcW w:w="1027" w:type="dxa"/>
          </w:tcPr>
          <w:p w14:paraId="66B329D3" w14:textId="5CC8BA1F"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2040</w:t>
            </w:r>
          </w:p>
        </w:tc>
        <w:tc>
          <w:tcPr>
            <w:tcW w:w="1027" w:type="dxa"/>
          </w:tcPr>
          <w:p w14:paraId="02587147" w14:textId="1B992F86"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2050</w:t>
            </w:r>
          </w:p>
        </w:tc>
        <w:tc>
          <w:tcPr>
            <w:tcW w:w="1027" w:type="dxa"/>
          </w:tcPr>
          <w:p w14:paraId="15FE5A4E" w14:textId="5EC0EF9C"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2060</w:t>
            </w:r>
          </w:p>
        </w:tc>
        <w:tc>
          <w:tcPr>
            <w:tcW w:w="1027" w:type="dxa"/>
          </w:tcPr>
          <w:p w14:paraId="59DB2DF1" w14:textId="2AB51BE6"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 change 2008/2060</w:t>
            </w:r>
          </w:p>
        </w:tc>
      </w:tr>
      <w:tr w:rsidR="00342798" w14:paraId="694AEF75" w14:textId="77777777" w:rsidTr="00342798">
        <w:tc>
          <w:tcPr>
            <w:tcW w:w="1026" w:type="dxa"/>
          </w:tcPr>
          <w:p w14:paraId="3026E647" w14:textId="00FC136F"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65 +</w:t>
            </w:r>
          </w:p>
        </w:tc>
        <w:tc>
          <w:tcPr>
            <w:tcW w:w="1027" w:type="dxa"/>
          </w:tcPr>
          <w:p w14:paraId="5F5D0663" w14:textId="14640D9C"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84.6</w:t>
            </w:r>
          </w:p>
        </w:tc>
        <w:tc>
          <w:tcPr>
            <w:tcW w:w="1027" w:type="dxa"/>
          </w:tcPr>
          <w:p w14:paraId="0ECAE094" w14:textId="5D6AC760"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87</w:t>
            </w:r>
          </w:p>
        </w:tc>
        <w:tc>
          <w:tcPr>
            <w:tcW w:w="1027" w:type="dxa"/>
          </w:tcPr>
          <w:p w14:paraId="181654BA" w14:textId="646FA66F"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103.7</w:t>
            </w:r>
          </w:p>
        </w:tc>
        <w:tc>
          <w:tcPr>
            <w:tcW w:w="1027" w:type="dxa"/>
          </w:tcPr>
          <w:p w14:paraId="2BBD1792" w14:textId="2A50D421"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123.5</w:t>
            </w:r>
          </w:p>
        </w:tc>
        <w:tc>
          <w:tcPr>
            <w:tcW w:w="1027" w:type="dxa"/>
          </w:tcPr>
          <w:p w14:paraId="103E1821" w14:textId="79E6CDBA"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143.1</w:t>
            </w:r>
          </w:p>
        </w:tc>
        <w:tc>
          <w:tcPr>
            <w:tcW w:w="1027" w:type="dxa"/>
          </w:tcPr>
          <w:p w14:paraId="39306688" w14:textId="266F4D4F"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149.9</w:t>
            </w:r>
          </w:p>
        </w:tc>
        <w:tc>
          <w:tcPr>
            <w:tcW w:w="1027" w:type="dxa"/>
          </w:tcPr>
          <w:p w14:paraId="10DA4042" w14:textId="16F5A98B"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152.7</w:t>
            </w:r>
          </w:p>
        </w:tc>
        <w:tc>
          <w:tcPr>
            <w:tcW w:w="1027" w:type="dxa"/>
          </w:tcPr>
          <w:p w14:paraId="1FDFD714" w14:textId="6975E4CD"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80.50%</w:t>
            </w:r>
          </w:p>
        </w:tc>
      </w:tr>
      <w:tr w:rsidR="00342798" w14:paraId="3BBF2974" w14:textId="77777777" w:rsidTr="00342798">
        <w:tc>
          <w:tcPr>
            <w:tcW w:w="1026" w:type="dxa"/>
          </w:tcPr>
          <w:p w14:paraId="7AD1497F" w14:textId="6A2B5B4B"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of which  80+</w:t>
            </w:r>
          </w:p>
        </w:tc>
        <w:tc>
          <w:tcPr>
            <w:tcW w:w="1027" w:type="dxa"/>
          </w:tcPr>
          <w:p w14:paraId="49FD7FDA" w14:textId="1C5A3E5D"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21.8</w:t>
            </w:r>
          </w:p>
        </w:tc>
        <w:tc>
          <w:tcPr>
            <w:tcW w:w="1027" w:type="dxa"/>
          </w:tcPr>
          <w:p w14:paraId="1D1EABA2" w14:textId="4D1741C3"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23.3</w:t>
            </w:r>
          </w:p>
        </w:tc>
        <w:tc>
          <w:tcPr>
            <w:tcW w:w="1027" w:type="dxa"/>
          </w:tcPr>
          <w:p w14:paraId="3CAB2CBC" w14:textId="1042B6BA"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29.7</w:t>
            </w:r>
          </w:p>
        </w:tc>
        <w:tc>
          <w:tcPr>
            <w:tcW w:w="1027" w:type="dxa"/>
          </w:tcPr>
          <w:p w14:paraId="0DDFFBB2" w14:textId="6A68ABB9"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36.6</w:t>
            </w:r>
          </w:p>
        </w:tc>
        <w:tc>
          <w:tcPr>
            <w:tcW w:w="1027" w:type="dxa"/>
          </w:tcPr>
          <w:p w14:paraId="64C79582" w14:textId="4C90D437"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48.8</w:t>
            </w:r>
          </w:p>
        </w:tc>
        <w:tc>
          <w:tcPr>
            <w:tcW w:w="1027" w:type="dxa"/>
          </w:tcPr>
          <w:p w14:paraId="57BF7EC2" w14:textId="6B2A0D0E"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57.7</w:t>
            </w:r>
          </w:p>
        </w:tc>
        <w:tc>
          <w:tcPr>
            <w:tcW w:w="1027" w:type="dxa"/>
          </w:tcPr>
          <w:p w14:paraId="686EACD8" w14:textId="4743D270"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62.2</w:t>
            </w:r>
          </w:p>
        </w:tc>
        <w:tc>
          <w:tcPr>
            <w:tcW w:w="1027" w:type="dxa"/>
          </w:tcPr>
          <w:p w14:paraId="78E9C889" w14:textId="0FECF260" w:rsidR="00342798" w:rsidRPr="00342798" w:rsidRDefault="00342798" w:rsidP="00A95ABC">
            <w:pPr>
              <w:spacing w:line="276" w:lineRule="auto"/>
              <w:jc w:val="center"/>
              <w:rPr>
                <w:rFonts w:eastAsia="Times New Roman" w:cs="Times New Roman"/>
                <w:lang w:val="en" w:eastAsia="en-GB"/>
              </w:rPr>
            </w:pPr>
            <w:r w:rsidRPr="00342798">
              <w:rPr>
                <w:rFonts w:eastAsia="Times New Roman" w:cs="Times New Roman"/>
                <w:lang w:val="en" w:eastAsia="en-GB"/>
              </w:rPr>
              <w:t>185.40%</w:t>
            </w:r>
          </w:p>
        </w:tc>
      </w:tr>
    </w:tbl>
    <w:p w14:paraId="277A0847" w14:textId="77777777" w:rsidR="008B3F2C" w:rsidRPr="00B77B31" w:rsidRDefault="008B3F2C" w:rsidP="00A95ABC">
      <w:pPr>
        <w:spacing w:after="0"/>
        <w:jc w:val="both"/>
        <w:rPr>
          <w:rFonts w:eastAsia="Times New Roman" w:cs="Times New Roman"/>
          <w:sz w:val="16"/>
          <w:szCs w:val="16"/>
          <w:lang w:val="en" w:eastAsia="en-GB"/>
        </w:rPr>
      </w:pPr>
    </w:p>
    <w:p w14:paraId="6DB4BFA6" w14:textId="09CEB5B9" w:rsidR="005F6B56" w:rsidRPr="00B77B31" w:rsidRDefault="008B3F2C" w:rsidP="00A95ABC">
      <w:pPr>
        <w:spacing w:after="0"/>
        <w:jc w:val="both"/>
        <w:rPr>
          <w:rFonts w:eastAsia="Times New Roman" w:cs="Times New Roman"/>
          <w:sz w:val="16"/>
          <w:szCs w:val="16"/>
          <w:lang w:val="en" w:eastAsia="en-GB"/>
        </w:rPr>
      </w:pPr>
      <w:r w:rsidRPr="00B77B31">
        <w:rPr>
          <w:rFonts w:eastAsia="Times New Roman" w:cs="Times New Roman"/>
          <w:sz w:val="16"/>
          <w:szCs w:val="16"/>
          <w:lang w:val="en" w:eastAsia="en-GB"/>
        </w:rPr>
        <w:t xml:space="preserve">Table 1: </w:t>
      </w:r>
      <w:r w:rsidR="00B77B31" w:rsidRPr="00B77B31">
        <w:rPr>
          <w:rFonts w:eastAsia="Times New Roman" w:cs="Times New Roman"/>
          <w:sz w:val="16"/>
          <w:szCs w:val="16"/>
          <w:lang w:val="en" w:eastAsia="en-GB"/>
        </w:rPr>
        <w:t>Development in Numbers of People 65+ and 80+ in EU27, 2008-2060, millions (source 2010 EUROPOP).</w:t>
      </w:r>
    </w:p>
    <w:p w14:paraId="703FB8A6" w14:textId="1756FCE3" w:rsidR="00E03A19" w:rsidRDefault="00E03A19">
      <w:pPr>
        <w:rPr>
          <w:rFonts w:eastAsia="Times New Roman" w:cs="Times New Roman"/>
          <w:sz w:val="24"/>
          <w:szCs w:val="24"/>
          <w:lang w:val="en" w:eastAsia="en-GB"/>
        </w:rPr>
      </w:pPr>
      <w:r>
        <w:rPr>
          <w:rFonts w:eastAsia="Times New Roman" w:cs="Times New Roman"/>
          <w:sz w:val="24"/>
          <w:szCs w:val="24"/>
          <w:lang w:val="en" w:eastAsia="en-GB"/>
        </w:rPr>
        <w:br w:type="page"/>
      </w:r>
    </w:p>
    <w:p w14:paraId="7F304164" w14:textId="77777777" w:rsidR="00342798" w:rsidRPr="003143BB" w:rsidRDefault="00342798" w:rsidP="00A95ABC">
      <w:pPr>
        <w:spacing w:after="0"/>
        <w:jc w:val="both"/>
        <w:rPr>
          <w:rFonts w:eastAsia="Times New Roman" w:cs="Times New Roman"/>
          <w:sz w:val="24"/>
          <w:szCs w:val="24"/>
          <w:lang w:val="en" w:eastAsia="en-GB"/>
        </w:rPr>
      </w:pP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EC36A4" w14:paraId="5FE41BEA" w14:textId="77777777" w:rsidTr="00EC36A4">
        <w:tc>
          <w:tcPr>
            <w:tcW w:w="1320" w:type="dxa"/>
          </w:tcPr>
          <w:p w14:paraId="6A54D6AC" w14:textId="77777777" w:rsidR="00EC36A4" w:rsidRDefault="00EC36A4" w:rsidP="00A95ABC">
            <w:pPr>
              <w:spacing w:line="276" w:lineRule="auto"/>
              <w:jc w:val="both"/>
              <w:rPr>
                <w:sz w:val="24"/>
                <w:szCs w:val="24"/>
                <w:lang w:eastAsia="ar-SA"/>
              </w:rPr>
            </w:pPr>
          </w:p>
        </w:tc>
        <w:tc>
          <w:tcPr>
            <w:tcW w:w="1320" w:type="dxa"/>
          </w:tcPr>
          <w:p w14:paraId="5280C201" w14:textId="77777777" w:rsidR="00342798" w:rsidRDefault="00342798" w:rsidP="00A95ABC">
            <w:pPr>
              <w:spacing w:line="276" w:lineRule="auto"/>
              <w:jc w:val="center"/>
              <w:rPr>
                <w:b/>
                <w:lang w:eastAsia="ar-SA"/>
              </w:rPr>
            </w:pPr>
          </w:p>
          <w:p w14:paraId="53BC746D" w14:textId="1C2DBBEB" w:rsidR="00EC36A4" w:rsidRPr="00EC36A4" w:rsidRDefault="00EC36A4" w:rsidP="00A95ABC">
            <w:pPr>
              <w:spacing w:line="276" w:lineRule="auto"/>
              <w:jc w:val="center"/>
              <w:rPr>
                <w:b/>
                <w:lang w:eastAsia="ar-SA"/>
              </w:rPr>
            </w:pPr>
            <w:r w:rsidRPr="00EC36A4">
              <w:rPr>
                <w:b/>
                <w:lang w:eastAsia="ar-SA"/>
              </w:rPr>
              <w:t>Total Years Life Expectancy at 65 (men)</w:t>
            </w:r>
          </w:p>
        </w:tc>
        <w:tc>
          <w:tcPr>
            <w:tcW w:w="1320" w:type="dxa"/>
          </w:tcPr>
          <w:p w14:paraId="309F745C" w14:textId="77777777" w:rsidR="00342798" w:rsidRDefault="00342798" w:rsidP="00A95ABC">
            <w:pPr>
              <w:spacing w:line="276" w:lineRule="auto"/>
              <w:jc w:val="center"/>
              <w:rPr>
                <w:b/>
                <w:lang w:eastAsia="ar-SA"/>
              </w:rPr>
            </w:pPr>
          </w:p>
          <w:p w14:paraId="675A4104" w14:textId="77777777" w:rsidR="00EC36A4" w:rsidRPr="00EC36A4" w:rsidRDefault="00EC36A4" w:rsidP="00A95ABC">
            <w:pPr>
              <w:spacing w:line="276" w:lineRule="auto"/>
              <w:jc w:val="center"/>
              <w:rPr>
                <w:b/>
                <w:lang w:eastAsia="ar-SA"/>
              </w:rPr>
            </w:pPr>
            <w:r w:rsidRPr="00EC36A4">
              <w:rPr>
                <w:b/>
                <w:lang w:eastAsia="ar-SA"/>
              </w:rPr>
              <w:t>Healthy Years Life Expectancy</w:t>
            </w:r>
          </w:p>
          <w:p w14:paraId="7FCB61AB" w14:textId="0F300370" w:rsidR="00EC36A4" w:rsidRPr="00EC36A4" w:rsidRDefault="00EC36A4" w:rsidP="00A95ABC">
            <w:pPr>
              <w:spacing w:line="276" w:lineRule="auto"/>
              <w:jc w:val="center"/>
              <w:rPr>
                <w:b/>
                <w:lang w:eastAsia="ar-SA"/>
              </w:rPr>
            </w:pPr>
            <w:r w:rsidRPr="00EC36A4">
              <w:rPr>
                <w:b/>
                <w:lang w:eastAsia="ar-SA"/>
              </w:rPr>
              <w:t>at 65 (men)</w:t>
            </w:r>
          </w:p>
        </w:tc>
        <w:tc>
          <w:tcPr>
            <w:tcW w:w="1320" w:type="dxa"/>
          </w:tcPr>
          <w:p w14:paraId="03415DBB" w14:textId="3C2E876C" w:rsidR="00EC36A4" w:rsidRPr="00EC36A4" w:rsidRDefault="00EC36A4" w:rsidP="00A95ABC">
            <w:pPr>
              <w:spacing w:line="276" w:lineRule="auto"/>
              <w:jc w:val="center"/>
              <w:rPr>
                <w:b/>
                <w:lang w:eastAsia="ar-SA"/>
              </w:rPr>
            </w:pPr>
            <w:r w:rsidRPr="00EC36A4">
              <w:rPr>
                <w:b/>
                <w:lang w:eastAsia="ar-SA"/>
              </w:rPr>
              <w:t>Percentage of Healthy Years Life Expectancy</w:t>
            </w:r>
          </w:p>
          <w:p w14:paraId="386EE8CA" w14:textId="7DB573B8" w:rsidR="00EC36A4" w:rsidRPr="00EC36A4" w:rsidRDefault="00EC36A4" w:rsidP="00A95ABC">
            <w:pPr>
              <w:spacing w:line="276" w:lineRule="auto"/>
              <w:jc w:val="center"/>
              <w:rPr>
                <w:b/>
                <w:lang w:eastAsia="ar-SA"/>
              </w:rPr>
            </w:pPr>
            <w:r w:rsidRPr="00EC36A4">
              <w:rPr>
                <w:b/>
                <w:lang w:eastAsia="ar-SA"/>
              </w:rPr>
              <w:t>at 65 (men)</w:t>
            </w:r>
          </w:p>
        </w:tc>
        <w:tc>
          <w:tcPr>
            <w:tcW w:w="1320" w:type="dxa"/>
          </w:tcPr>
          <w:p w14:paraId="11E5570A" w14:textId="542367EC" w:rsidR="00EC36A4" w:rsidRPr="00EC36A4" w:rsidRDefault="00EC36A4" w:rsidP="00A95ABC">
            <w:pPr>
              <w:spacing w:line="276" w:lineRule="auto"/>
              <w:jc w:val="center"/>
              <w:rPr>
                <w:b/>
                <w:lang w:eastAsia="ar-SA"/>
              </w:rPr>
            </w:pPr>
            <w:r w:rsidRPr="00EC36A4">
              <w:rPr>
                <w:b/>
                <w:lang w:eastAsia="ar-SA"/>
              </w:rPr>
              <w:t>Total Years Life Expectancy at 65 (women)</w:t>
            </w:r>
          </w:p>
        </w:tc>
        <w:tc>
          <w:tcPr>
            <w:tcW w:w="1321" w:type="dxa"/>
          </w:tcPr>
          <w:p w14:paraId="78559667" w14:textId="77777777" w:rsidR="00EC36A4" w:rsidRPr="00EC36A4" w:rsidRDefault="00EC36A4" w:rsidP="00A95ABC">
            <w:pPr>
              <w:spacing w:line="276" w:lineRule="auto"/>
              <w:jc w:val="center"/>
              <w:rPr>
                <w:b/>
                <w:lang w:eastAsia="ar-SA"/>
              </w:rPr>
            </w:pPr>
            <w:r w:rsidRPr="00EC36A4">
              <w:rPr>
                <w:b/>
                <w:lang w:eastAsia="ar-SA"/>
              </w:rPr>
              <w:t>Healthy Years Life Expectancy</w:t>
            </w:r>
          </w:p>
          <w:p w14:paraId="2648E351" w14:textId="523A3F80" w:rsidR="00EC36A4" w:rsidRPr="00EC36A4" w:rsidRDefault="00EC36A4" w:rsidP="00A95ABC">
            <w:pPr>
              <w:spacing w:line="276" w:lineRule="auto"/>
              <w:jc w:val="center"/>
              <w:rPr>
                <w:b/>
                <w:lang w:eastAsia="ar-SA"/>
              </w:rPr>
            </w:pPr>
            <w:r w:rsidRPr="00EC36A4">
              <w:rPr>
                <w:b/>
                <w:lang w:eastAsia="ar-SA"/>
              </w:rPr>
              <w:t>at 65 (women)</w:t>
            </w:r>
          </w:p>
        </w:tc>
        <w:tc>
          <w:tcPr>
            <w:tcW w:w="1321" w:type="dxa"/>
          </w:tcPr>
          <w:p w14:paraId="118640BF" w14:textId="77777777" w:rsidR="00EC36A4" w:rsidRPr="00EC36A4" w:rsidRDefault="00EC36A4" w:rsidP="00A95ABC">
            <w:pPr>
              <w:spacing w:line="276" w:lineRule="auto"/>
              <w:jc w:val="center"/>
              <w:rPr>
                <w:b/>
                <w:lang w:eastAsia="ar-SA"/>
              </w:rPr>
            </w:pPr>
            <w:r w:rsidRPr="00EC36A4">
              <w:rPr>
                <w:b/>
                <w:lang w:eastAsia="ar-SA"/>
              </w:rPr>
              <w:t>Percentage of Healthy Years Life Expectancy</w:t>
            </w:r>
          </w:p>
          <w:p w14:paraId="5545553E" w14:textId="3E8011DE" w:rsidR="00EC36A4" w:rsidRPr="00EC36A4" w:rsidRDefault="00EC36A4" w:rsidP="00A95ABC">
            <w:pPr>
              <w:spacing w:line="276" w:lineRule="auto"/>
              <w:jc w:val="center"/>
              <w:rPr>
                <w:b/>
                <w:lang w:eastAsia="ar-SA"/>
              </w:rPr>
            </w:pPr>
            <w:r w:rsidRPr="00EC36A4">
              <w:rPr>
                <w:b/>
                <w:lang w:eastAsia="ar-SA"/>
              </w:rPr>
              <w:t>at 65 (women)</w:t>
            </w:r>
          </w:p>
        </w:tc>
      </w:tr>
      <w:tr w:rsidR="00EC36A4" w:rsidRPr="00EC36A4" w14:paraId="1DD57F6B" w14:textId="77777777" w:rsidTr="00EC36A4">
        <w:tc>
          <w:tcPr>
            <w:tcW w:w="1320" w:type="dxa"/>
          </w:tcPr>
          <w:p w14:paraId="4D0FCB88" w14:textId="3CA4DFE2" w:rsidR="00EC36A4" w:rsidRPr="00EC36A4" w:rsidRDefault="00EC36A4" w:rsidP="00A95ABC">
            <w:pPr>
              <w:spacing w:line="276" w:lineRule="auto"/>
              <w:jc w:val="center"/>
              <w:rPr>
                <w:b/>
                <w:lang w:eastAsia="ar-SA"/>
              </w:rPr>
            </w:pPr>
            <w:r w:rsidRPr="00EC36A4">
              <w:rPr>
                <w:b/>
                <w:lang w:eastAsia="ar-SA"/>
              </w:rPr>
              <w:t>EU -27</w:t>
            </w:r>
          </w:p>
        </w:tc>
        <w:tc>
          <w:tcPr>
            <w:tcW w:w="1320" w:type="dxa"/>
          </w:tcPr>
          <w:p w14:paraId="71FFECFB" w14:textId="600E1113" w:rsidR="00EC36A4" w:rsidRPr="00EC36A4" w:rsidRDefault="00EC36A4" w:rsidP="00A95ABC">
            <w:pPr>
              <w:spacing w:line="276" w:lineRule="auto"/>
              <w:jc w:val="center"/>
              <w:rPr>
                <w:lang w:eastAsia="ar-SA"/>
              </w:rPr>
            </w:pPr>
            <w:r w:rsidRPr="00EC36A4">
              <w:rPr>
                <w:lang w:eastAsia="ar-SA"/>
              </w:rPr>
              <w:t>16.5</w:t>
            </w:r>
          </w:p>
        </w:tc>
        <w:tc>
          <w:tcPr>
            <w:tcW w:w="1320" w:type="dxa"/>
          </w:tcPr>
          <w:p w14:paraId="02334B74" w14:textId="16B1F3C0" w:rsidR="00EC36A4" w:rsidRPr="00EC36A4" w:rsidRDefault="00EC36A4" w:rsidP="00A95ABC">
            <w:pPr>
              <w:spacing w:line="276" w:lineRule="auto"/>
              <w:jc w:val="center"/>
              <w:rPr>
                <w:lang w:eastAsia="ar-SA"/>
              </w:rPr>
            </w:pPr>
            <w:r w:rsidRPr="00EC36A4">
              <w:rPr>
                <w:lang w:eastAsia="ar-SA"/>
              </w:rPr>
              <w:t>8.4</w:t>
            </w:r>
          </w:p>
        </w:tc>
        <w:tc>
          <w:tcPr>
            <w:tcW w:w="1320" w:type="dxa"/>
          </w:tcPr>
          <w:p w14:paraId="04E254C5" w14:textId="43E0CB2A" w:rsidR="00EC36A4" w:rsidRPr="00EC36A4" w:rsidRDefault="00EC36A4" w:rsidP="00A95ABC">
            <w:pPr>
              <w:spacing w:line="276" w:lineRule="auto"/>
              <w:jc w:val="center"/>
              <w:rPr>
                <w:lang w:eastAsia="ar-SA"/>
              </w:rPr>
            </w:pPr>
            <w:r w:rsidRPr="00EC36A4">
              <w:rPr>
                <w:lang w:eastAsia="ar-SA"/>
              </w:rPr>
              <w:t>51.0 %</w:t>
            </w:r>
          </w:p>
        </w:tc>
        <w:tc>
          <w:tcPr>
            <w:tcW w:w="1320" w:type="dxa"/>
          </w:tcPr>
          <w:p w14:paraId="79DAC2D0" w14:textId="71728A0B" w:rsidR="00EC36A4" w:rsidRPr="00EC36A4" w:rsidRDefault="00EC36A4" w:rsidP="00A95ABC">
            <w:pPr>
              <w:spacing w:line="276" w:lineRule="auto"/>
              <w:jc w:val="center"/>
              <w:rPr>
                <w:lang w:eastAsia="ar-SA"/>
              </w:rPr>
            </w:pPr>
            <w:r w:rsidRPr="00EC36A4">
              <w:rPr>
                <w:lang w:eastAsia="ar-SA"/>
              </w:rPr>
              <w:t>20.1</w:t>
            </w:r>
          </w:p>
        </w:tc>
        <w:tc>
          <w:tcPr>
            <w:tcW w:w="1321" w:type="dxa"/>
          </w:tcPr>
          <w:p w14:paraId="58708DB4" w14:textId="5226C9B2" w:rsidR="00EC36A4" w:rsidRPr="00EC36A4" w:rsidRDefault="00EC36A4" w:rsidP="00A95ABC">
            <w:pPr>
              <w:spacing w:line="276" w:lineRule="auto"/>
              <w:jc w:val="center"/>
              <w:rPr>
                <w:lang w:eastAsia="ar-SA"/>
              </w:rPr>
            </w:pPr>
            <w:r w:rsidRPr="00EC36A4">
              <w:rPr>
                <w:lang w:eastAsia="ar-SA"/>
              </w:rPr>
              <w:t>8.6</w:t>
            </w:r>
          </w:p>
        </w:tc>
        <w:tc>
          <w:tcPr>
            <w:tcW w:w="1321" w:type="dxa"/>
          </w:tcPr>
          <w:p w14:paraId="70F90F86" w14:textId="72A58999" w:rsidR="00EC36A4" w:rsidRPr="00EC36A4" w:rsidRDefault="00EC36A4" w:rsidP="00A95ABC">
            <w:pPr>
              <w:spacing w:line="276" w:lineRule="auto"/>
              <w:jc w:val="center"/>
              <w:rPr>
                <w:lang w:eastAsia="ar-SA"/>
              </w:rPr>
            </w:pPr>
            <w:r w:rsidRPr="00EC36A4">
              <w:rPr>
                <w:lang w:eastAsia="ar-SA"/>
              </w:rPr>
              <w:t>42.0%</w:t>
            </w:r>
          </w:p>
        </w:tc>
      </w:tr>
    </w:tbl>
    <w:p w14:paraId="44EF32BB" w14:textId="77777777" w:rsidR="008B3F2C" w:rsidRPr="00B77B31" w:rsidRDefault="008B3F2C" w:rsidP="00A95ABC">
      <w:pPr>
        <w:spacing w:after="0"/>
        <w:jc w:val="both"/>
        <w:rPr>
          <w:sz w:val="16"/>
          <w:szCs w:val="16"/>
          <w:lang w:eastAsia="ar-SA"/>
        </w:rPr>
      </w:pPr>
    </w:p>
    <w:p w14:paraId="2285E98A" w14:textId="0228F7B1" w:rsidR="00EC36A4" w:rsidRPr="00160B92" w:rsidRDefault="008B3F2C" w:rsidP="00A95ABC">
      <w:pPr>
        <w:spacing w:after="0"/>
        <w:jc w:val="both"/>
        <w:rPr>
          <w:b/>
          <w:sz w:val="16"/>
          <w:szCs w:val="16"/>
          <w:lang w:eastAsia="ar-SA"/>
        </w:rPr>
      </w:pPr>
      <w:r w:rsidRPr="00160B92">
        <w:rPr>
          <w:b/>
          <w:sz w:val="16"/>
          <w:szCs w:val="16"/>
          <w:lang w:eastAsia="ar-SA"/>
        </w:rPr>
        <w:t xml:space="preserve">Table 2: </w:t>
      </w:r>
      <w:r w:rsidR="00EC36A4" w:rsidRPr="00160B92">
        <w:rPr>
          <w:b/>
          <w:sz w:val="16"/>
          <w:szCs w:val="16"/>
          <w:lang w:eastAsia="ar-SA"/>
        </w:rPr>
        <w:t>Life Expectancy and Healthy Life Expectancy at 65 in the EU-27 in 2009</w:t>
      </w:r>
      <w:r w:rsidR="00160B92" w:rsidRPr="00160B92">
        <w:rPr>
          <w:b/>
          <w:sz w:val="16"/>
          <w:szCs w:val="16"/>
          <w:lang w:eastAsia="ar-SA"/>
        </w:rPr>
        <w:t xml:space="preserve"> (</w:t>
      </w:r>
      <w:r w:rsidR="00160B92">
        <w:rPr>
          <w:b/>
          <w:sz w:val="16"/>
          <w:szCs w:val="16"/>
          <w:lang w:eastAsia="ar-SA"/>
        </w:rPr>
        <w:t>S</w:t>
      </w:r>
      <w:r w:rsidR="00160B92" w:rsidRPr="00160B92">
        <w:rPr>
          <w:b/>
          <w:sz w:val="16"/>
          <w:szCs w:val="16"/>
          <w:lang w:eastAsia="ar-SA"/>
        </w:rPr>
        <w:t xml:space="preserve">ource: Eurostat Statistics Database) </w:t>
      </w:r>
      <w:r w:rsidR="00EC36A4" w:rsidRPr="00160B92">
        <w:rPr>
          <w:b/>
          <w:sz w:val="16"/>
          <w:szCs w:val="16"/>
          <w:lang w:eastAsia="ar-SA"/>
        </w:rPr>
        <w:t xml:space="preserve"> </w:t>
      </w:r>
    </w:p>
    <w:p w14:paraId="647162D4" w14:textId="77777777" w:rsidR="00EC36A4" w:rsidRDefault="00EC36A4" w:rsidP="00A95ABC">
      <w:pPr>
        <w:spacing w:after="0"/>
        <w:jc w:val="both"/>
        <w:rPr>
          <w:sz w:val="24"/>
          <w:szCs w:val="24"/>
          <w:lang w:eastAsia="ar-SA"/>
        </w:rPr>
      </w:pPr>
    </w:p>
    <w:p w14:paraId="6CE94777" w14:textId="3F775211" w:rsidR="00EC36A4" w:rsidRDefault="00825DFA" w:rsidP="00A95ABC">
      <w:pPr>
        <w:spacing w:after="0"/>
        <w:jc w:val="both"/>
        <w:rPr>
          <w:sz w:val="24"/>
          <w:szCs w:val="24"/>
          <w:lang w:eastAsia="ar-SA"/>
        </w:rPr>
      </w:pPr>
      <w:r>
        <w:rPr>
          <w:noProof/>
          <w:sz w:val="24"/>
          <w:szCs w:val="24"/>
          <w:lang w:val="en-NZ" w:eastAsia="en-NZ"/>
        </w:rPr>
        <w:drawing>
          <wp:inline distT="0" distB="0" distL="0" distR="0" wp14:anchorId="71C704E6" wp14:editId="3725C806">
            <wp:extent cx="5666740" cy="2722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6740" cy="2722245"/>
                    </a:xfrm>
                    <a:prstGeom prst="rect">
                      <a:avLst/>
                    </a:prstGeom>
                    <a:noFill/>
                    <a:ln>
                      <a:noFill/>
                    </a:ln>
                  </pic:spPr>
                </pic:pic>
              </a:graphicData>
            </a:graphic>
          </wp:inline>
        </w:drawing>
      </w:r>
    </w:p>
    <w:p w14:paraId="2C07C93E" w14:textId="77777777" w:rsidR="00825DFA" w:rsidRDefault="00825DFA" w:rsidP="00E230B4">
      <w:pPr>
        <w:spacing w:after="0"/>
        <w:jc w:val="both"/>
        <w:rPr>
          <w:sz w:val="24"/>
          <w:szCs w:val="24"/>
          <w:lang w:eastAsia="ar-SA"/>
        </w:rPr>
      </w:pPr>
    </w:p>
    <w:p w14:paraId="43AF8204" w14:textId="64A06A8B" w:rsidR="00E720D7" w:rsidRPr="00BA1C94" w:rsidRDefault="00326328" w:rsidP="00E230B4">
      <w:pPr>
        <w:pStyle w:val="ListParagraph"/>
        <w:numPr>
          <w:ilvl w:val="0"/>
          <w:numId w:val="6"/>
        </w:numPr>
        <w:spacing w:after="0"/>
        <w:ind w:left="0"/>
        <w:jc w:val="both"/>
        <w:rPr>
          <w:b/>
          <w:sz w:val="24"/>
          <w:szCs w:val="24"/>
          <w:lang w:eastAsia="ar-SA"/>
        </w:rPr>
      </w:pPr>
      <w:r w:rsidRPr="00BA1C94">
        <w:rPr>
          <w:b/>
          <w:sz w:val="24"/>
          <w:szCs w:val="24"/>
          <w:lang w:eastAsia="ar-SA"/>
        </w:rPr>
        <w:t>S</w:t>
      </w:r>
      <w:r w:rsidR="00EA70AD" w:rsidRPr="00BA1C94">
        <w:rPr>
          <w:b/>
          <w:sz w:val="24"/>
          <w:szCs w:val="24"/>
          <w:lang w:eastAsia="ar-SA"/>
        </w:rPr>
        <w:t xml:space="preserve">hould the EU </w:t>
      </w:r>
      <w:r w:rsidRPr="00BA1C94">
        <w:rPr>
          <w:b/>
          <w:sz w:val="24"/>
          <w:szCs w:val="24"/>
          <w:lang w:eastAsia="ar-SA"/>
        </w:rPr>
        <w:t>be concerned with</w:t>
      </w:r>
      <w:r w:rsidR="00EA70AD" w:rsidRPr="00BA1C94">
        <w:rPr>
          <w:b/>
          <w:sz w:val="24"/>
          <w:szCs w:val="24"/>
          <w:lang w:eastAsia="ar-SA"/>
        </w:rPr>
        <w:t xml:space="preserve"> </w:t>
      </w:r>
      <w:r w:rsidR="00846165" w:rsidRPr="00BA1C94">
        <w:rPr>
          <w:b/>
          <w:sz w:val="24"/>
          <w:szCs w:val="24"/>
          <w:lang w:eastAsia="ar-SA"/>
        </w:rPr>
        <w:t>eldercare</w:t>
      </w:r>
      <w:r w:rsidR="00EA70AD" w:rsidRPr="00BA1C94">
        <w:rPr>
          <w:b/>
          <w:sz w:val="24"/>
          <w:szCs w:val="24"/>
          <w:lang w:eastAsia="ar-SA"/>
        </w:rPr>
        <w:t xml:space="preserve">? </w:t>
      </w:r>
    </w:p>
    <w:p w14:paraId="04418155" w14:textId="55D006BF" w:rsidR="000E1E9B" w:rsidRPr="00FD5BE6" w:rsidRDefault="00E1277D" w:rsidP="00E230B4">
      <w:pPr>
        <w:spacing w:after="0"/>
        <w:jc w:val="both"/>
        <w:rPr>
          <w:lang w:eastAsia="ar-SA"/>
        </w:rPr>
      </w:pPr>
      <w:r>
        <w:rPr>
          <w:sz w:val="24"/>
          <w:szCs w:val="24"/>
          <w:lang w:eastAsia="ar-SA"/>
        </w:rPr>
        <w:t>E</w:t>
      </w:r>
      <w:r w:rsidR="00666284">
        <w:rPr>
          <w:sz w:val="24"/>
          <w:szCs w:val="24"/>
          <w:lang w:eastAsia="ar-SA"/>
        </w:rPr>
        <w:t>lder</w:t>
      </w:r>
      <w:r w:rsidR="008A54D3">
        <w:rPr>
          <w:sz w:val="24"/>
          <w:szCs w:val="24"/>
          <w:lang w:eastAsia="ar-SA"/>
        </w:rPr>
        <w:t>c</w:t>
      </w:r>
      <w:r w:rsidR="00385852">
        <w:rPr>
          <w:sz w:val="24"/>
          <w:szCs w:val="24"/>
          <w:lang w:eastAsia="ar-SA"/>
        </w:rPr>
        <w:t>are</w:t>
      </w:r>
      <w:r w:rsidR="00A559CD">
        <w:rPr>
          <w:sz w:val="24"/>
          <w:szCs w:val="24"/>
          <w:lang w:eastAsia="ar-SA"/>
        </w:rPr>
        <w:t xml:space="preserve"> </w:t>
      </w:r>
      <w:r>
        <w:rPr>
          <w:sz w:val="24"/>
          <w:szCs w:val="24"/>
          <w:lang w:eastAsia="ar-SA"/>
        </w:rPr>
        <w:t>is increasingly becoming an issue that the EU needs to engage with.</w:t>
      </w:r>
      <w:r w:rsidR="00385852">
        <w:rPr>
          <w:rStyle w:val="FootnoteReference"/>
          <w:sz w:val="24"/>
          <w:szCs w:val="24"/>
          <w:lang w:eastAsia="ar-SA"/>
        </w:rPr>
        <w:footnoteReference w:id="24"/>
      </w:r>
      <w:r w:rsidR="00263205">
        <w:rPr>
          <w:sz w:val="24"/>
          <w:szCs w:val="24"/>
          <w:lang w:eastAsia="ar-SA"/>
        </w:rPr>
        <w:t xml:space="preserve"> </w:t>
      </w:r>
      <w:r>
        <w:rPr>
          <w:sz w:val="24"/>
          <w:szCs w:val="24"/>
          <w:lang w:eastAsia="ar-SA"/>
        </w:rPr>
        <w:t xml:space="preserve"> </w:t>
      </w:r>
      <w:r w:rsidR="00D00A16">
        <w:rPr>
          <w:sz w:val="24"/>
          <w:szCs w:val="24"/>
          <w:lang w:eastAsia="ar-SA"/>
        </w:rPr>
        <w:t>Broadly – and r</w:t>
      </w:r>
      <w:r w:rsidR="00263205">
        <w:rPr>
          <w:sz w:val="24"/>
          <w:szCs w:val="24"/>
          <w:lang w:eastAsia="ar-SA"/>
        </w:rPr>
        <w:t>isking</w:t>
      </w:r>
      <w:r w:rsidR="000E1E9B">
        <w:rPr>
          <w:sz w:val="24"/>
          <w:szCs w:val="24"/>
          <w:lang w:eastAsia="ar-SA"/>
        </w:rPr>
        <w:t xml:space="preserve"> of being over </w:t>
      </w:r>
      <w:r w:rsidR="00FD5BE6">
        <w:rPr>
          <w:sz w:val="24"/>
          <w:szCs w:val="24"/>
          <w:lang w:eastAsia="ar-SA"/>
        </w:rPr>
        <w:t>simplistic</w:t>
      </w:r>
      <w:r w:rsidR="00D00A16">
        <w:rPr>
          <w:sz w:val="24"/>
          <w:szCs w:val="24"/>
          <w:lang w:eastAsia="ar-SA"/>
        </w:rPr>
        <w:t xml:space="preserve"> -</w:t>
      </w:r>
      <w:r w:rsidR="000E1E9B" w:rsidRPr="00823DE4">
        <w:rPr>
          <w:sz w:val="24"/>
          <w:szCs w:val="24"/>
          <w:lang w:eastAsia="ar-SA"/>
        </w:rPr>
        <w:t xml:space="preserve"> there two </w:t>
      </w:r>
      <w:r w:rsidR="000E1E9B">
        <w:rPr>
          <w:sz w:val="24"/>
          <w:szCs w:val="24"/>
          <w:lang w:eastAsia="ar-SA"/>
        </w:rPr>
        <w:t xml:space="preserve">other </w:t>
      </w:r>
      <w:r w:rsidR="000E1E9B" w:rsidRPr="00823DE4">
        <w:rPr>
          <w:sz w:val="24"/>
          <w:szCs w:val="24"/>
          <w:lang w:eastAsia="ar-SA"/>
        </w:rPr>
        <w:t>main reasons</w:t>
      </w:r>
      <w:r w:rsidR="00C73984">
        <w:rPr>
          <w:sz w:val="24"/>
          <w:szCs w:val="24"/>
          <w:lang w:eastAsia="ar-SA"/>
        </w:rPr>
        <w:t xml:space="preserve"> for such engagement</w:t>
      </w:r>
      <w:r w:rsidR="000E1E9B">
        <w:rPr>
          <w:sz w:val="24"/>
          <w:szCs w:val="24"/>
          <w:lang w:eastAsia="ar-SA"/>
        </w:rPr>
        <w:t xml:space="preserve">: an </w:t>
      </w:r>
      <w:r w:rsidR="000E1E9B" w:rsidRPr="00980E5F">
        <w:rPr>
          <w:sz w:val="24"/>
          <w:szCs w:val="24"/>
          <w:lang w:eastAsia="ar-SA"/>
        </w:rPr>
        <w:t>economic one</w:t>
      </w:r>
      <w:r w:rsidR="000E1E9B">
        <w:rPr>
          <w:sz w:val="24"/>
          <w:szCs w:val="24"/>
          <w:lang w:eastAsia="ar-SA"/>
        </w:rPr>
        <w:t xml:space="preserve"> and a more human rights</w:t>
      </w:r>
      <w:r w:rsidR="00D00A16">
        <w:rPr>
          <w:sz w:val="24"/>
          <w:szCs w:val="24"/>
          <w:lang w:eastAsia="ar-SA"/>
        </w:rPr>
        <w:t>/moral</w:t>
      </w:r>
      <w:r w:rsidR="000E1E9B">
        <w:rPr>
          <w:sz w:val="24"/>
          <w:szCs w:val="24"/>
          <w:lang w:eastAsia="ar-SA"/>
        </w:rPr>
        <w:t xml:space="preserve"> oriented.</w:t>
      </w:r>
      <w:r w:rsidR="000E1E9B" w:rsidRPr="004A72E0">
        <w:rPr>
          <w:lang w:eastAsia="ar-SA"/>
        </w:rPr>
        <w:t xml:space="preserve">  </w:t>
      </w:r>
    </w:p>
    <w:p w14:paraId="14C2BC6E" w14:textId="289FC294" w:rsidR="00263205" w:rsidRPr="008C2677" w:rsidRDefault="00B77B31" w:rsidP="00A95ABC">
      <w:pPr>
        <w:autoSpaceDE w:val="0"/>
        <w:autoSpaceDN w:val="0"/>
        <w:adjustRightInd w:val="0"/>
        <w:spacing w:after="0"/>
        <w:jc w:val="both"/>
        <w:rPr>
          <w:rFonts w:ascii="Times New Roman" w:hAnsi="Times New Roman" w:cs="Times New Roman"/>
          <w:sz w:val="24"/>
          <w:szCs w:val="24"/>
        </w:rPr>
      </w:pPr>
      <w:r w:rsidRPr="009F46D9">
        <w:rPr>
          <w:sz w:val="24"/>
          <w:szCs w:val="24"/>
          <w:lang w:eastAsia="ar-SA"/>
        </w:rPr>
        <w:t>A</w:t>
      </w:r>
      <w:r w:rsidR="00E230B4" w:rsidRPr="009F46D9">
        <w:rPr>
          <w:sz w:val="24"/>
          <w:szCs w:val="24"/>
          <w:lang w:eastAsia="ar-SA"/>
        </w:rPr>
        <w:t>s</w:t>
      </w:r>
      <w:r w:rsidRPr="009F46D9">
        <w:rPr>
          <w:sz w:val="24"/>
          <w:szCs w:val="24"/>
          <w:lang w:eastAsia="ar-SA"/>
        </w:rPr>
        <w:t xml:space="preserve"> far as the economic rationale is concerned, s</w:t>
      </w:r>
      <w:r w:rsidR="00823DE4" w:rsidRPr="00155DFD">
        <w:rPr>
          <w:rFonts w:ascii="Calibri" w:eastAsia="Times New Roman" w:hAnsi="Calibri" w:cs="Times New Roman"/>
          <w:sz w:val="24"/>
          <w:szCs w:val="24"/>
          <w:lang w:eastAsia="en-GB"/>
        </w:rPr>
        <w:t>imply put</w:t>
      </w:r>
      <w:r w:rsidR="00823DE4" w:rsidRPr="00823DE4">
        <w:rPr>
          <w:rFonts w:ascii="Calibri" w:eastAsia="Times New Roman" w:hAnsi="Calibri" w:cs="Times New Roman"/>
          <w:sz w:val="24"/>
          <w:szCs w:val="24"/>
          <w:lang w:eastAsia="en-GB"/>
        </w:rPr>
        <w:t xml:space="preserve">, </w:t>
      </w:r>
      <w:r w:rsidR="00846165">
        <w:rPr>
          <w:rFonts w:ascii="Calibri" w:eastAsia="Times New Roman" w:hAnsi="Calibri" w:cs="Times New Roman"/>
          <w:sz w:val="24"/>
          <w:szCs w:val="24"/>
          <w:lang w:eastAsia="en-GB"/>
        </w:rPr>
        <w:t xml:space="preserve">an ageing population has </w:t>
      </w:r>
      <w:r w:rsidR="00C13493">
        <w:rPr>
          <w:rFonts w:ascii="Calibri" w:eastAsia="Times New Roman" w:hAnsi="Calibri" w:cs="Times New Roman"/>
          <w:sz w:val="24"/>
          <w:szCs w:val="24"/>
          <w:lang w:eastAsia="en-GB"/>
        </w:rPr>
        <w:t>implications</w:t>
      </w:r>
      <w:r w:rsidR="00846165">
        <w:rPr>
          <w:rFonts w:ascii="Calibri" w:eastAsia="Times New Roman" w:hAnsi="Calibri" w:cs="Times New Roman"/>
          <w:sz w:val="24"/>
          <w:szCs w:val="24"/>
          <w:lang w:eastAsia="en-GB"/>
        </w:rPr>
        <w:t xml:space="preserve"> that, if not carefully managed can be very expensive</w:t>
      </w:r>
      <w:r w:rsidR="00263205">
        <w:rPr>
          <w:rFonts w:ascii="Calibri" w:eastAsia="Times New Roman" w:hAnsi="Calibri" w:cs="Times New Roman"/>
          <w:sz w:val="24"/>
          <w:szCs w:val="24"/>
          <w:lang w:eastAsia="en-GB"/>
        </w:rPr>
        <w:t xml:space="preserve"> for </w:t>
      </w:r>
      <w:r w:rsidR="008A54D3">
        <w:rPr>
          <w:rFonts w:ascii="Calibri" w:eastAsia="Times New Roman" w:hAnsi="Calibri" w:cs="Times New Roman"/>
          <w:sz w:val="24"/>
          <w:szCs w:val="24"/>
          <w:lang w:eastAsia="en-GB"/>
        </w:rPr>
        <w:t xml:space="preserve">both individuals and </w:t>
      </w:r>
      <w:r w:rsidR="00263205">
        <w:rPr>
          <w:rFonts w:ascii="Calibri" w:eastAsia="Times New Roman" w:hAnsi="Calibri" w:cs="Times New Roman"/>
          <w:sz w:val="24"/>
          <w:szCs w:val="24"/>
          <w:lang w:eastAsia="en-GB"/>
        </w:rPr>
        <w:t>society</w:t>
      </w:r>
      <w:r w:rsidR="00846165">
        <w:rPr>
          <w:rFonts w:ascii="Calibri" w:eastAsia="Times New Roman" w:hAnsi="Calibri" w:cs="Times New Roman"/>
          <w:sz w:val="24"/>
          <w:szCs w:val="24"/>
          <w:lang w:eastAsia="en-GB"/>
        </w:rPr>
        <w:t>.</w:t>
      </w:r>
      <w:r w:rsidR="00C13493">
        <w:rPr>
          <w:rFonts w:ascii="Calibri" w:eastAsia="Times New Roman" w:hAnsi="Calibri" w:cs="Times New Roman"/>
          <w:sz w:val="24"/>
          <w:szCs w:val="24"/>
          <w:lang w:eastAsia="en-GB"/>
        </w:rPr>
        <w:t xml:space="preserve">  </w:t>
      </w:r>
      <w:r w:rsidR="008A54D3">
        <w:rPr>
          <w:rFonts w:ascii="Calibri" w:eastAsia="Times New Roman" w:hAnsi="Calibri" w:cs="Times New Roman"/>
          <w:sz w:val="24"/>
          <w:szCs w:val="24"/>
          <w:lang w:eastAsia="en-GB"/>
        </w:rPr>
        <w:t>First of all there is a clear argument for keeping people in employment as long as possible.</w:t>
      </w:r>
      <w:r w:rsidR="00386217">
        <w:rPr>
          <w:rStyle w:val="FootnoteReference"/>
          <w:rFonts w:ascii="Calibri" w:eastAsia="Times New Roman" w:hAnsi="Calibri" w:cs="Times New Roman"/>
          <w:sz w:val="24"/>
          <w:szCs w:val="24"/>
          <w:lang w:eastAsia="en-GB"/>
        </w:rPr>
        <w:footnoteReference w:id="25"/>
      </w:r>
      <w:r w:rsidR="008A54D3">
        <w:rPr>
          <w:rFonts w:ascii="Calibri" w:eastAsia="Times New Roman" w:hAnsi="Calibri" w:cs="Times New Roman"/>
          <w:sz w:val="24"/>
          <w:szCs w:val="24"/>
          <w:lang w:eastAsia="en-GB"/>
        </w:rPr>
        <w:t xml:space="preserve">  </w:t>
      </w:r>
      <w:r w:rsidR="00C13493">
        <w:rPr>
          <w:rFonts w:ascii="Calibri" w:eastAsia="Times New Roman" w:hAnsi="Calibri" w:cs="Times New Roman"/>
          <w:sz w:val="24"/>
          <w:szCs w:val="24"/>
          <w:lang w:eastAsia="en-GB"/>
        </w:rPr>
        <w:t>Some people, with adequate support, might still be able to work and contribute to the overall economy.  Equally, p</w:t>
      </w:r>
      <w:r w:rsidR="00823DE4" w:rsidRPr="00823DE4">
        <w:rPr>
          <w:rFonts w:ascii="Calibri" w:eastAsia="Times New Roman" w:hAnsi="Calibri" w:cs="Times New Roman"/>
          <w:sz w:val="24"/>
          <w:szCs w:val="24"/>
          <w:lang w:eastAsia="en-GB"/>
        </w:rPr>
        <w:t xml:space="preserve">eople with heavy </w:t>
      </w:r>
      <w:r w:rsidR="00CF2B9E">
        <w:rPr>
          <w:rFonts w:ascii="Calibri" w:eastAsia="Times New Roman" w:hAnsi="Calibri" w:cs="Times New Roman"/>
          <w:sz w:val="24"/>
          <w:szCs w:val="24"/>
          <w:lang w:eastAsia="en-GB"/>
        </w:rPr>
        <w:t xml:space="preserve">eldercare </w:t>
      </w:r>
      <w:r w:rsidR="00823DE4" w:rsidRPr="00823DE4">
        <w:rPr>
          <w:rFonts w:ascii="Calibri" w:eastAsia="Times New Roman" w:hAnsi="Calibri" w:cs="Times New Roman"/>
          <w:sz w:val="24"/>
          <w:szCs w:val="24"/>
          <w:lang w:eastAsia="en-GB"/>
        </w:rPr>
        <w:t xml:space="preserve">responsibility are less likely than people with less or no care responsibilities to be in (full-time) employment.  In turn, if individuals are unable to work, </w:t>
      </w:r>
      <w:r w:rsidR="00CF2B9E">
        <w:rPr>
          <w:rFonts w:ascii="Calibri" w:eastAsia="Times New Roman" w:hAnsi="Calibri" w:cs="Times New Roman"/>
          <w:sz w:val="24"/>
          <w:szCs w:val="24"/>
          <w:lang w:eastAsia="en-GB"/>
        </w:rPr>
        <w:t xml:space="preserve">business is likely to experience the loss of skilled employees </w:t>
      </w:r>
      <w:r w:rsidR="00CF2B9E">
        <w:rPr>
          <w:rFonts w:ascii="Calibri" w:eastAsia="Times New Roman" w:hAnsi="Calibri" w:cs="Times New Roman"/>
          <w:sz w:val="24"/>
          <w:szCs w:val="24"/>
          <w:lang w:eastAsia="en-GB"/>
        </w:rPr>
        <w:lastRenderedPageBreak/>
        <w:t xml:space="preserve">and leadership capacity. </w:t>
      </w:r>
      <w:r w:rsidR="00823DE4" w:rsidRPr="00823DE4">
        <w:rPr>
          <w:rFonts w:ascii="Calibri" w:eastAsia="Times New Roman" w:hAnsi="Calibri" w:cs="Times New Roman"/>
          <w:sz w:val="24"/>
          <w:szCs w:val="24"/>
          <w:lang w:eastAsia="en-GB"/>
        </w:rPr>
        <w:t xml:space="preserve"> </w:t>
      </w:r>
      <w:r w:rsidR="00CF2B9E">
        <w:rPr>
          <w:rFonts w:ascii="Calibri" w:eastAsia="Times New Roman" w:hAnsi="Calibri" w:cs="Times New Roman"/>
          <w:sz w:val="24"/>
          <w:szCs w:val="24"/>
          <w:lang w:eastAsia="en-GB"/>
        </w:rPr>
        <w:t>It will not only</w:t>
      </w:r>
      <w:r w:rsidR="00823DE4" w:rsidRPr="00823DE4">
        <w:rPr>
          <w:rFonts w:ascii="Calibri" w:eastAsia="Times New Roman" w:hAnsi="Calibri" w:cs="Times New Roman"/>
          <w:sz w:val="24"/>
          <w:szCs w:val="24"/>
          <w:lang w:eastAsia="en-GB"/>
        </w:rPr>
        <w:t xml:space="preserve"> </w:t>
      </w:r>
      <w:r w:rsidR="00F4508B">
        <w:rPr>
          <w:rFonts w:ascii="Calibri" w:eastAsia="Times New Roman" w:hAnsi="Calibri" w:cs="Times New Roman"/>
          <w:sz w:val="24"/>
          <w:szCs w:val="24"/>
          <w:lang w:eastAsia="en-GB"/>
        </w:rPr>
        <w:t xml:space="preserve">be </w:t>
      </w:r>
      <w:r w:rsidR="003D5AD3">
        <w:rPr>
          <w:rFonts w:ascii="Calibri" w:eastAsia="Times New Roman" w:hAnsi="Calibri" w:cs="Times New Roman"/>
          <w:sz w:val="24"/>
          <w:szCs w:val="24"/>
          <w:lang w:eastAsia="en-GB"/>
        </w:rPr>
        <w:t xml:space="preserve">individual </w:t>
      </w:r>
      <w:r w:rsidR="00CF2B9E">
        <w:rPr>
          <w:rFonts w:ascii="Calibri" w:eastAsia="Times New Roman" w:hAnsi="Calibri" w:cs="Times New Roman"/>
          <w:i/>
          <w:sz w:val="24"/>
          <w:szCs w:val="24"/>
          <w:lang w:eastAsia="en-GB"/>
        </w:rPr>
        <w:t xml:space="preserve">business </w:t>
      </w:r>
      <w:r w:rsidR="00A9368D">
        <w:rPr>
          <w:rFonts w:ascii="Calibri" w:eastAsia="Times New Roman" w:hAnsi="Calibri" w:cs="Times New Roman"/>
          <w:sz w:val="24"/>
          <w:szCs w:val="24"/>
          <w:lang w:eastAsia="en-GB"/>
        </w:rPr>
        <w:t>that will</w:t>
      </w:r>
      <w:r w:rsidR="00823DE4" w:rsidRPr="00823DE4">
        <w:rPr>
          <w:rFonts w:ascii="Calibri" w:eastAsia="Times New Roman" w:hAnsi="Calibri" w:cs="Times New Roman"/>
          <w:sz w:val="24"/>
          <w:szCs w:val="24"/>
          <w:lang w:eastAsia="en-GB"/>
        </w:rPr>
        <w:t xml:space="preserve"> suffer detrimental consequences but the economy as a whole will </w:t>
      </w:r>
      <w:r w:rsidR="003D5AD3">
        <w:rPr>
          <w:rFonts w:ascii="Calibri" w:eastAsia="Times New Roman" w:hAnsi="Calibri" w:cs="Times New Roman"/>
          <w:sz w:val="24"/>
          <w:szCs w:val="24"/>
          <w:lang w:eastAsia="en-GB"/>
        </w:rPr>
        <w:t>be affected</w:t>
      </w:r>
      <w:r w:rsidR="00823DE4" w:rsidRPr="00823DE4">
        <w:rPr>
          <w:rFonts w:ascii="Calibri" w:eastAsia="Times New Roman" w:hAnsi="Calibri" w:cs="Times New Roman"/>
          <w:sz w:val="24"/>
          <w:szCs w:val="24"/>
          <w:lang w:eastAsia="en-GB"/>
        </w:rPr>
        <w:t xml:space="preserve">.  The latter does not only benefit from the fact that individuals are actively engaged in paid employment.  It also benefits by avoiding long term consequences of the </w:t>
      </w:r>
      <w:r w:rsidR="00A9368D" w:rsidRPr="00823DE4">
        <w:rPr>
          <w:rFonts w:ascii="Calibri" w:eastAsia="Times New Roman" w:hAnsi="Calibri" w:cs="Times New Roman"/>
          <w:sz w:val="24"/>
          <w:szCs w:val="24"/>
          <w:lang w:eastAsia="en-GB"/>
        </w:rPr>
        <w:t>so</w:t>
      </w:r>
      <w:r w:rsidR="00A9368D">
        <w:rPr>
          <w:rFonts w:ascii="Calibri" w:eastAsia="Times New Roman" w:hAnsi="Calibri" w:cs="Times New Roman"/>
          <w:sz w:val="24"/>
          <w:szCs w:val="24"/>
          <w:lang w:eastAsia="en-GB"/>
        </w:rPr>
        <w:t>-</w:t>
      </w:r>
      <w:r w:rsidR="00823DE4" w:rsidRPr="00823DE4">
        <w:rPr>
          <w:rFonts w:ascii="Calibri" w:eastAsia="Times New Roman" w:hAnsi="Calibri" w:cs="Times New Roman"/>
          <w:sz w:val="24"/>
          <w:szCs w:val="24"/>
          <w:lang w:eastAsia="en-GB"/>
        </w:rPr>
        <w:t>called “old social risk”</w:t>
      </w:r>
      <w:r w:rsidR="00823DE4" w:rsidRPr="00823DE4">
        <w:rPr>
          <w:rFonts w:ascii="Calibri" w:eastAsia="Times New Roman" w:hAnsi="Calibri" w:cs="Times New Roman"/>
          <w:sz w:val="24"/>
          <w:szCs w:val="24"/>
          <w:vertAlign w:val="superscript"/>
          <w:lang w:eastAsia="en-GB"/>
        </w:rPr>
        <w:footnoteReference w:id="26"/>
      </w:r>
      <w:r w:rsidR="00823DE4" w:rsidRPr="00823DE4">
        <w:rPr>
          <w:rFonts w:ascii="Calibri" w:eastAsia="Times New Roman" w:hAnsi="Calibri" w:cs="Times New Roman"/>
          <w:sz w:val="24"/>
          <w:szCs w:val="24"/>
          <w:lang w:eastAsia="en-GB"/>
        </w:rPr>
        <w:t xml:space="preserve"> such as unemployment and long term-poverty,</w:t>
      </w:r>
      <w:r w:rsidR="00823DE4" w:rsidRPr="00823DE4">
        <w:rPr>
          <w:rFonts w:ascii="Calibri" w:eastAsia="Times New Roman" w:hAnsi="Calibri" w:cs="Times New Roman"/>
          <w:sz w:val="24"/>
          <w:szCs w:val="24"/>
          <w:vertAlign w:val="superscript"/>
          <w:lang w:eastAsia="en-GB"/>
        </w:rPr>
        <w:footnoteReference w:id="27"/>
      </w:r>
      <w:r w:rsidR="00823DE4" w:rsidRPr="00823DE4">
        <w:rPr>
          <w:rFonts w:ascii="Calibri" w:eastAsia="Times New Roman" w:hAnsi="Calibri" w:cs="Times New Roman"/>
          <w:sz w:val="24"/>
          <w:szCs w:val="24"/>
          <w:lang w:eastAsia="en-GB"/>
        </w:rPr>
        <w:t xml:space="preserve"> as well as the “new social risks”,</w:t>
      </w:r>
      <w:r w:rsidR="00823DE4" w:rsidRPr="00823DE4">
        <w:rPr>
          <w:rFonts w:ascii="Calibri" w:eastAsia="Times New Roman" w:hAnsi="Calibri" w:cs="Times New Roman"/>
          <w:sz w:val="24"/>
          <w:szCs w:val="24"/>
          <w:vertAlign w:val="superscript"/>
          <w:lang w:eastAsia="en-GB"/>
        </w:rPr>
        <w:footnoteReference w:id="28"/>
      </w:r>
      <w:r w:rsidR="00823DE4" w:rsidRPr="00823DE4">
        <w:rPr>
          <w:rFonts w:ascii="Calibri" w:eastAsia="Times New Roman" w:hAnsi="Calibri" w:cs="Times New Roman"/>
          <w:sz w:val="24"/>
          <w:szCs w:val="24"/>
          <w:lang w:eastAsia="en-GB"/>
        </w:rPr>
        <w:t xml:space="preserve"> most notably inadequate social security coverage.</w:t>
      </w:r>
      <w:r w:rsidR="00823DE4" w:rsidRPr="00823DE4">
        <w:rPr>
          <w:rFonts w:ascii="Calibri" w:eastAsia="Times New Roman" w:hAnsi="Calibri" w:cs="Times New Roman"/>
          <w:sz w:val="24"/>
          <w:szCs w:val="24"/>
          <w:vertAlign w:val="superscript"/>
          <w:lang w:eastAsia="en-GB"/>
        </w:rPr>
        <w:footnoteReference w:id="29"/>
      </w:r>
      <w:r w:rsidR="00823DE4" w:rsidRPr="00823DE4">
        <w:rPr>
          <w:rFonts w:ascii="Calibri" w:eastAsia="Times New Roman" w:hAnsi="Calibri" w:cs="Times New Roman"/>
          <w:sz w:val="24"/>
          <w:szCs w:val="24"/>
          <w:lang w:eastAsia="en-GB"/>
        </w:rPr>
        <w:t xml:space="preserve">  By the same token, if individuals do not go to work, they will not be able to contribute to a pension fund to sustain an ageing society.</w:t>
      </w:r>
      <w:r w:rsidR="00823DE4" w:rsidRPr="00823DE4">
        <w:rPr>
          <w:rFonts w:ascii="Calibri" w:eastAsia="Times New Roman" w:hAnsi="Calibri" w:cs="Times New Roman"/>
          <w:sz w:val="24"/>
          <w:szCs w:val="24"/>
          <w:vertAlign w:val="superscript"/>
          <w:lang w:eastAsia="en-GB"/>
        </w:rPr>
        <w:footnoteReference w:id="30"/>
      </w:r>
      <w:r w:rsidR="00823DE4" w:rsidRPr="00823DE4">
        <w:rPr>
          <w:rFonts w:ascii="Calibri" w:eastAsia="Times New Roman" w:hAnsi="Calibri" w:cs="Times New Roman"/>
          <w:sz w:val="24"/>
          <w:szCs w:val="24"/>
          <w:lang w:eastAsia="en-GB"/>
        </w:rPr>
        <w:t xml:space="preserve">  </w:t>
      </w:r>
      <w:r w:rsidR="003D5AD3">
        <w:rPr>
          <w:rFonts w:ascii="Calibri" w:eastAsia="Times New Roman" w:hAnsi="Calibri" w:cs="Times New Roman"/>
          <w:sz w:val="24"/>
          <w:szCs w:val="24"/>
          <w:lang w:eastAsia="en-GB"/>
        </w:rPr>
        <w:t>Finally</w:t>
      </w:r>
      <w:r w:rsidR="00823DE4" w:rsidRPr="00823DE4">
        <w:rPr>
          <w:rFonts w:ascii="Calibri" w:eastAsia="Times New Roman" w:hAnsi="Calibri" w:cs="Times New Roman"/>
          <w:sz w:val="24"/>
          <w:szCs w:val="24"/>
          <w:lang w:eastAsia="en-GB"/>
        </w:rPr>
        <w:t>, the economic value of care for individual States cannot be underestimated: for example, in the UK research showed that the cost of the unpaid care contributed by carers is around £ 119 billion per year.</w:t>
      </w:r>
      <w:r w:rsidR="00823DE4" w:rsidRPr="00823DE4">
        <w:rPr>
          <w:rFonts w:ascii="Calibri" w:eastAsia="Times New Roman" w:hAnsi="Calibri" w:cs="Times New Roman"/>
          <w:sz w:val="24"/>
          <w:szCs w:val="24"/>
          <w:vertAlign w:val="superscript"/>
          <w:lang w:eastAsia="en-GB"/>
        </w:rPr>
        <w:footnoteReference w:id="31"/>
      </w:r>
      <w:r w:rsidR="00823DE4" w:rsidRPr="00823DE4">
        <w:rPr>
          <w:rFonts w:ascii="Calibri" w:eastAsia="Times New Roman" w:hAnsi="Calibri" w:cs="Times New Roman"/>
          <w:sz w:val="24"/>
          <w:szCs w:val="24"/>
          <w:lang w:eastAsia="en-GB"/>
        </w:rPr>
        <w:t xml:space="preserve">  </w:t>
      </w:r>
      <w:r w:rsidR="008C2677" w:rsidRPr="008C2677">
        <w:rPr>
          <w:rFonts w:ascii="Calibri" w:eastAsia="Times New Roman" w:hAnsi="Calibri" w:cs="Times New Roman"/>
          <w:sz w:val="24"/>
          <w:szCs w:val="24"/>
          <w:lang w:eastAsia="en-GB"/>
        </w:rPr>
        <w:t>Regulation of care is also instrumental to the achievement other important policies such as employment - in particular the targets of 75% employment of the Europe 2020 strategy</w:t>
      </w:r>
      <w:r w:rsidR="008C2677" w:rsidRPr="008C2677">
        <w:rPr>
          <w:rFonts w:ascii="Calibri" w:eastAsia="Times New Roman" w:hAnsi="Calibri" w:cs="Times New Roman"/>
          <w:sz w:val="24"/>
          <w:szCs w:val="24"/>
          <w:vertAlign w:val="superscript"/>
          <w:lang w:eastAsia="en-GB"/>
        </w:rPr>
        <w:footnoteReference w:id="32"/>
      </w:r>
      <w:r w:rsidR="008C2677" w:rsidRPr="008C2677">
        <w:rPr>
          <w:rFonts w:ascii="Calibri" w:eastAsia="Times New Roman" w:hAnsi="Calibri" w:cs="Times New Roman"/>
          <w:sz w:val="24"/>
          <w:szCs w:val="24"/>
          <w:lang w:eastAsia="en-GB"/>
        </w:rPr>
        <w:t xml:space="preserve"> - and gender equality.  There is evidence in fact that, on the main, care is a gendered activity:</w:t>
      </w:r>
      <w:r w:rsidR="008C2677" w:rsidRPr="008C2677">
        <w:rPr>
          <w:rFonts w:ascii="Calibri" w:eastAsia="Times New Roman" w:hAnsi="Calibri" w:cs="Times New Roman"/>
          <w:sz w:val="24"/>
          <w:szCs w:val="24"/>
          <w:vertAlign w:val="superscript"/>
          <w:lang w:eastAsia="en-GB"/>
        </w:rPr>
        <w:footnoteReference w:id="33"/>
      </w:r>
      <w:r w:rsidR="008C2677" w:rsidRPr="008C2677">
        <w:rPr>
          <w:rFonts w:ascii="Calibri" w:eastAsia="Times New Roman" w:hAnsi="Calibri" w:cs="Times New Roman"/>
          <w:sz w:val="24"/>
          <w:szCs w:val="24"/>
          <w:lang w:eastAsia="en-GB"/>
        </w:rPr>
        <w:t xml:space="preserve"> overall, women are more likely to </w:t>
      </w:r>
      <w:r w:rsidR="008C2677">
        <w:rPr>
          <w:rFonts w:ascii="Calibri" w:eastAsia="Times New Roman" w:hAnsi="Calibri" w:cs="Times New Roman"/>
          <w:sz w:val="24"/>
          <w:szCs w:val="24"/>
          <w:lang w:eastAsia="en-GB"/>
        </w:rPr>
        <w:t>both be more likely to be recipient of care</w:t>
      </w:r>
      <w:r w:rsidR="00666284">
        <w:rPr>
          <w:rFonts w:ascii="Calibri" w:eastAsia="Times New Roman" w:hAnsi="Calibri" w:cs="Times New Roman"/>
          <w:sz w:val="24"/>
          <w:szCs w:val="24"/>
          <w:lang w:eastAsia="en-GB"/>
        </w:rPr>
        <w:t xml:space="preserve"> (see Table 2)</w:t>
      </w:r>
      <w:r w:rsidR="008C2677">
        <w:rPr>
          <w:rFonts w:ascii="Calibri" w:eastAsia="Times New Roman" w:hAnsi="Calibri" w:cs="Times New Roman"/>
          <w:sz w:val="24"/>
          <w:szCs w:val="24"/>
          <w:lang w:eastAsia="en-GB"/>
        </w:rPr>
        <w:t xml:space="preserve">, and to </w:t>
      </w:r>
      <w:r w:rsidR="008C2677" w:rsidRPr="008C2677">
        <w:rPr>
          <w:rFonts w:ascii="Calibri" w:eastAsia="Times New Roman" w:hAnsi="Calibri" w:cs="Times New Roman"/>
          <w:sz w:val="24"/>
          <w:szCs w:val="24"/>
          <w:lang w:eastAsia="en-GB"/>
        </w:rPr>
        <w:t>provide long term care.  Conversely men, unless caring for spouses or partners, care for fewer hours per week and undertake less demanding tasks.</w:t>
      </w:r>
      <w:r w:rsidR="008C2677" w:rsidRPr="008C2677">
        <w:rPr>
          <w:rFonts w:ascii="Calibri" w:eastAsia="Times New Roman" w:hAnsi="Calibri" w:cs="Times New Roman"/>
          <w:sz w:val="24"/>
          <w:szCs w:val="24"/>
          <w:vertAlign w:val="superscript"/>
          <w:lang w:eastAsia="en-GB"/>
        </w:rPr>
        <w:footnoteReference w:id="34"/>
      </w:r>
      <w:r w:rsidR="008C2677" w:rsidRPr="008C2677">
        <w:rPr>
          <w:rFonts w:ascii="Calibri" w:eastAsia="Times New Roman" w:hAnsi="Calibri" w:cs="Times New Roman"/>
          <w:sz w:val="24"/>
          <w:szCs w:val="24"/>
          <w:lang w:eastAsia="en-GB"/>
        </w:rPr>
        <w:t xml:space="preserve">  </w:t>
      </w:r>
    </w:p>
    <w:p w14:paraId="3D43CCF4" w14:textId="77777777" w:rsidR="008C2677" w:rsidRDefault="008C2677" w:rsidP="00A95ABC">
      <w:pPr>
        <w:autoSpaceDE w:val="0"/>
        <w:autoSpaceDN w:val="0"/>
        <w:adjustRightInd w:val="0"/>
        <w:spacing w:after="0"/>
        <w:jc w:val="both"/>
        <w:rPr>
          <w:rFonts w:ascii="Calibri" w:eastAsia="Times New Roman" w:hAnsi="Calibri" w:cs="Times New Roman"/>
          <w:sz w:val="24"/>
          <w:szCs w:val="24"/>
          <w:lang w:eastAsia="en-GB"/>
        </w:rPr>
      </w:pPr>
    </w:p>
    <w:p w14:paraId="626CD71E" w14:textId="5349DE8E" w:rsidR="00F93177" w:rsidRDefault="00D00A16" w:rsidP="00A95ABC">
      <w:pPr>
        <w:autoSpaceDE w:val="0"/>
        <w:autoSpaceDN w:val="0"/>
        <w:adjustRightInd w:val="0"/>
        <w:spacing w:after="0"/>
        <w:jc w:val="both"/>
        <w:rPr>
          <w:rFonts w:eastAsia="Times New Roman" w:cs="Times New Roman"/>
          <w:sz w:val="24"/>
          <w:szCs w:val="24"/>
          <w:lang w:eastAsia="en-GB"/>
        </w:rPr>
      </w:pPr>
      <w:r>
        <w:rPr>
          <w:rFonts w:ascii="Calibri" w:eastAsia="Times New Roman" w:hAnsi="Calibri" w:cs="Times New Roman"/>
          <w:sz w:val="24"/>
          <w:szCs w:val="24"/>
          <w:lang w:eastAsia="en-GB"/>
        </w:rPr>
        <w:t>Elder</w:t>
      </w:r>
      <w:r w:rsidR="00846165" w:rsidRPr="00F93177">
        <w:rPr>
          <w:rFonts w:ascii="Calibri" w:eastAsia="Times New Roman" w:hAnsi="Calibri" w:cs="Times New Roman"/>
          <w:sz w:val="24"/>
          <w:szCs w:val="24"/>
          <w:lang w:eastAsia="en-GB"/>
        </w:rPr>
        <w:t>care</w:t>
      </w:r>
      <w:r>
        <w:rPr>
          <w:rFonts w:ascii="Calibri" w:eastAsia="Times New Roman" w:hAnsi="Calibri" w:cs="Times New Roman"/>
          <w:sz w:val="24"/>
          <w:szCs w:val="24"/>
          <w:lang w:eastAsia="en-GB"/>
        </w:rPr>
        <w:t xml:space="preserve"> however</w:t>
      </w:r>
      <w:r w:rsidR="00846165" w:rsidRPr="00F93177">
        <w:rPr>
          <w:rFonts w:ascii="Calibri" w:eastAsia="Times New Roman" w:hAnsi="Calibri" w:cs="Times New Roman"/>
          <w:sz w:val="24"/>
          <w:szCs w:val="24"/>
          <w:lang w:eastAsia="en-GB"/>
        </w:rPr>
        <w:t xml:space="preserve"> not only creates challenges bu</w:t>
      </w:r>
      <w:r w:rsidR="00F93177" w:rsidRPr="00F93177">
        <w:rPr>
          <w:rFonts w:ascii="Calibri" w:eastAsia="Times New Roman" w:hAnsi="Calibri" w:cs="Times New Roman"/>
          <w:sz w:val="24"/>
          <w:szCs w:val="24"/>
          <w:lang w:eastAsia="en-GB"/>
        </w:rPr>
        <w:t xml:space="preserve">t also opens up opportunities </w:t>
      </w:r>
      <w:r w:rsidR="00F93177" w:rsidRPr="00F93177">
        <w:rPr>
          <w:rFonts w:ascii="Calibri" w:eastAsia="Times New Roman" w:hAnsi="Calibri" w:cs="Times New Roman"/>
          <w:bCs/>
          <w:sz w:val="24"/>
          <w:szCs w:val="24"/>
          <w:lang w:eastAsia="en-GB"/>
        </w:rPr>
        <w:t>opportunity for new jobs and growth</w:t>
      </w:r>
      <w:r w:rsidR="00F93177">
        <w:rPr>
          <w:rFonts w:ascii="Calibri" w:eastAsia="Times New Roman" w:hAnsi="Calibri" w:cs="Times New Roman"/>
          <w:sz w:val="24"/>
          <w:szCs w:val="24"/>
          <w:lang w:eastAsia="en-GB"/>
        </w:rPr>
        <w:t xml:space="preserve">.  </w:t>
      </w:r>
      <w:r w:rsidR="00F93177" w:rsidRPr="00F93177">
        <w:rPr>
          <w:rFonts w:ascii="Calibri" w:eastAsia="Times New Roman" w:hAnsi="Calibri" w:cs="Times New Roman"/>
          <w:sz w:val="24"/>
          <w:szCs w:val="24"/>
          <w:lang w:eastAsia="en-GB"/>
        </w:rPr>
        <w:t xml:space="preserve">The </w:t>
      </w:r>
      <w:r w:rsidR="00A9368D">
        <w:rPr>
          <w:rFonts w:ascii="Calibri" w:eastAsia="Times New Roman" w:hAnsi="Calibri" w:cs="Times New Roman"/>
          <w:sz w:val="24"/>
          <w:szCs w:val="24"/>
          <w:lang w:eastAsia="en-GB"/>
        </w:rPr>
        <w:t>so-</w:t>
      </w:r>
      <w:r w:rsidR="00F93177">
        <w:rPr>
          <w:rFonts w:ascii="Calibri" w:eastAsia="Times New Roman" w:hAnsi="Calibri" w:cs="Times New Roman"/>
          <w:sz w:val="24"/>
          <w:szCs w:val="24"/>
          <w:lang w:eastAsia="en-GB"/>
        </w:rPr>
        <w:t xml:space="preserve">called </w:t>
      </w:r>
      <w:r w:rsidR="00F93177" w:rsidRPr="00F93177">
        <w:rPr>
          <w:rFonts w:ascii="Calibri" w:eastAsia="Times New Roman" w:hAnsi="Calibri" w:cs="Times New Roman"/>
          <w:sz w:val="24"/>
          <w:szCs w:val="24"/>
          <w:lang w:eastAsia="en-GB"/>
        </w:rPr>
        <w:t>Silver Economy covers new market opportunities arising from public and consumer expenditure related to the rights, needs and demands of the (growing) population over 50.</w:t>
      </w:r>
      <w:r w:rsidR="0071407E">
        <w:rPr>
          <w:rStyle w:val="FootnoteReference"/>
          <w:rFonts w:ascii="Calibri" w:eastAsia="Times New Roman" w:hAnsi="Calibri" w:cs="Times New Roman"/>
          <w:sz w:val="24"/>
          <w:szCs w:val="24"/>
          <w:lang w:eastAsia="en-GB"/>
        </w:rPr>
        <w:footnoteReference w:id="35"/>
      </w:r>
      <w:r w:rsidR="00F93177" w:rsidRPr="00F93177">
        <w:rPr>
          <w:rFonts w:ascii="Calibri" w:eastAsia="Times New Roman" w:hAnsi="Calibri" w:cs="Times New Roman"/>
          <w:sz w:val="24"/>
          <w:szCs w:val="24"/>
          <w:lang w:eastAsia="en-GB"/>
        </w:rPr>
        <w:t xml:space="preserve"> </w:t>
      </w:r>
      <w:r w:rsidR="00F93177">
        <w:rPr>
          <w:rFonts w:ascii="Calibri" w:eastAsia="Times New Roman" w:hAnsi="Calibri" w:cs="Times New Roman"/>
          <w:sz w:val="24"/>
          <w:szCs w:val="24"/>
          <w:lang w:eastAsia="en-GB"/>
        </w:rPr>
        <w:t xml:space="preserve"> It could potentially create jobs in the long term care sector and a wide range of older-age related goods and services such as the development of new technologies.</w:t>
      </w:r>
      <w:r w:rsidR="00F93177" w:rsidRPr="003D5AD3">
        <w:rPr>
          <w:rStyle w:val="FootnoteReference"/>
          <w:rFonts w:cs="Times New Roman"/>
          <w:sz w:val="24"/>
          <w:szCs w:val="24"/>
        </w:rPr>
        <w:footnoteReference w:id="36"/>
      </w:r>
      <w:r w:rsidR="00F93177" w:rsidRPr="003D5AD3">
        <w:rPr>
          <w:rFonts w:eastAsia="Times New Roman" w:cs="Times New Roman"/>
          <w:sz w:val="24"/>
          <w:szCs w:val="24"/>
          <w:lang w:eastAsia="en-GB"/>
        </w:rPr>
        <w:t xml:space="preserve"> </w:t>
      </w:r>
    </w:p>
    <w:p w14:paraId="5C0C955D" w14:textId="3A4FA581" w:rsidR="00A9368D" w:rsidRDefault="00A9368D" w:rsidP="00A95ABC">
      <w:pPr>
        <w:autoSpaceDE w:val="0"/>
        <w:autoSpaceDN w:val="0"/>
        <w:adjustRightInd w:val="0"/>
        <w:spacing w:after="0"/>
        <w:jc w:val="both"/>
        <w:rPr>
          <w:rFonts w:ascii="Calibri" w:eastAsia="Times New Roman" w:hAnsi="Calibri" w:cs="Times New Roman"/>
          <w:sz w:val="24"/>
          <w:szCs w:val="24"/>
          <w:lang w:eastAsia="en-GB"/>
        </w:rPr>
      </w:pPr>
      <w:r>
        <w:rPr>
          <w:rFonts w:eastAsia="Times New Roman" w:cs="Times New Roman"/>
          <w:sz w:val="24"/>
          <w:szCs w:val="24"/>
          <w:lang w:eastAsia="en-GB"/>
        </w:rPr>
        <w:t xml:space="preserve">Finally, care demand and care providers might well be </w:t>
      </w:r>
      <w:r w:rsidR="00666284">
        <w:rPr>
          <w:rFonts w:eastAsia="Times New Roman" w:cs="Times New Roman"/>
          <w:sz w:val="24"/>
          <w:szCs w:val="24"/>
          <w:lang w:eastAsia="en-GB"/>
        </w:rPr>
        <w:t>affecting the free movement provisions</w:t>
      </w:r>
      <w:r>
        <w:rPr>
          <w:rFonts w:eastAsia="Times New Roman" w:cs="Times New Roman"/>
          <w:sz w:val="24"/>
          <w:szCs w:val="24"/>
          <w:lang w:eastAsia="en-GB"/>
        </w:rPr>
        <w:t xml:space="preserve"> within the European Union. </w:t>
      </w:r>
      <w:r w:rsidR="009F46D9">
        <w:rPr>
          <w:rFonts w:eastAsia="Times New Roman" w:cs="Times New Roman"/>
          <w:sz w:val="24"/>
          <w:szCs w:val="24"/>
          <w:lang w:eastAsia="en-GB"/>
        </w:rPr>
        <w:t xml:space="preserve"> </w:t>
      </w:r>
      <w:r>
        <w:rPr>
          <w:rFonts w:eastAsia="Times New Roman" w:cs="Times New Roman"/>
          <w:sz w:val="24"/>
          <w:szCs w:val="24"/>
          <w:lang w:eastAsia="en-GB"/>
        </w:rPr>
        <w:t>Some care is already being provided on a global market</w:t>
      </w:r>
      <w:r w:rsidR="005D7B84">
        <w:rPr>
          <w:rFonts w:eastAsia="Times New Roman" w:cs="Times New Roman"/>
          <w:sz w:val="24"/>
          <w:szCs w:val="24"/>
          <w:lang w:eastAsia="en-GB"/>
        </w:rPr>
        <w:t>, mostly coming from the south</w:t>
      </w:r>
      <w:r>
        <w:rPr>
          <w:rFonts w:eastAsia="Times New Roman" w:cs="Times New Roman"/>
          <w:sz w:val="24"/>
          <w:szCs w:val="24"/>
          <w:lang w:eastAsia="en-GB"/>
        </w:rPr>
        <w:t xml:space="preserve">. </w:t>
      </w:r>
      <w:r w:rsidR="009F46D9">
        <w:rPr>
          <w:rFonts w:eastAsia="Times New Roman" w:cs="Times New Roman"/>
          <w:sz w:val="24"/>
          <w:szCs w:val="24"/>
          <w:lang w:eastAsia="en-GB"/>
        </w:rPr>
        <w:t xml:space="preserve"> </w:t>
      </w:r>
      <w:r w:rsidR="005D7B84">
        <w:rPr>
          <w:rFonts w:eastAsia="Times New Roman" w:cs="Times New Roman"/>
          <w:sz w:val="24"/>
          <w:szCs w:val="24"/>
          <w:lang w:eastAsia="en-GB"/>
        </w:rPr>
        <w:t xml:space="preserve">The </w:t>
      </w:r>
      <w:r w:rsidR="009F46D9">
        <w:rPr>
          <w:rFonts w:eastAsia="Times New Roman" w:cs="Times New Roman"/>
          <w:sz w:val="24"/>
          <w:szCs w:val="24"/>
          <w:lang w:eastAsia="en-GB"/>
        </w:rPr>
        <w:t>European</w:t>
      </w:r>
      <w:r w:rsidR="005D7B84">
        <w:rPr>
          <w:rFonts w:eastAsia="Times New Roman" w:cs="Times New Roman"/>
          <w:sz w:val="24"/>
          <w:szCs w:val="24"/>
          <w:lang w:eastAsia="en-GB"/>
        </w:rPr>
        <w:t xml:space="preserve"> Union is at least concerned with free movement of person of EU citizen. </w:t>
      </w:r>
    </w:p>
    <w:p w14:paraId="21F70059" w14:textId="77777777" w:rsidR="00846165" w:rsidRDefault="00846165" w:rsidP="00A95ABC">
      <w:pPr>
        <w:spacing w:after="0"/>
        <w:jc w:val="both"/>
        <w:rPr>
          <w:rFonts w:ascii="Calibri" w:eastAsia="Times New Roman" w:hAnsi="Calibri" w:cs="Times New Roman"/>
          <w:sz w:val="24"/>
          <w:szCs w:val="24"/>
          <w:lang w:eastAsia="en-GB"/>
        </w:rPr>
      </w:pPr>
    </w:p>
    <w:p w14:paraId="30E150C7" w14:textId="247EE892" w:rsidR="00823DE4" w:rsidRPr="00F4508B" w:rsidRDefault="00F93177" w:rsidP="00A95ABC">
      <w:pPr>
        <w:spacing w:after="0"/>
        <w:jc w:val="both"/>
        <w:rPr>
          <w:rFonts w:eastAsia="Times New Roman" w:cs="Times New Roman"/>
          <w:sz w:val="24"/>
          <w:szCs w:val="24"/>
          <w:lang w:eastAsia="en-GB"/>
        </w:rPr>
      </w:pPr>
      <w:r>
        <w:rPr>
          <w:rFonts w:eastAsia="Times New Roman" w:cs="Times New Roman"/>
          <w:sz w:val="24"/>
          <w:szCs w:val="24"/>
          <w:lang w:eastAsia="en-GB"/>
        </w:rPr>
        <w:t xml:space="preserve">Thus, </w:t>
      </w:r>
      <w:r w:rsidR="00823DE4" w:rsidRPr="00F4508B">
        <w:rPr>
          <w:rFonts w:eastAsia="Times New Roman" w:cs="Times New Roman"/>
          <w:sz w:val="24"/>
          <w:szCs w:val="24"/>
          <w:lang w:eastAsia="en-GB"/>
        </w:rPr>
        <w:t>the economic rationale</w:t>
      </w:r>
      <w:r w:rsidR="004A7884">
        <w:rPr>
          <w:rFonts w:eastAsia="Times New Roman" w:cs="Times New Roman"/>
          <w:sz w:val="24"/>
          <w:szCs w:val="24"/>
          <w:lang w:eastAsia="en-GB"/>
        </w:rPr>
        <w:t xml:space="preserve"> and the business case</w:t>
      </w:r>
      <w:r w:rsidR="00823DE4" w:rsidRPr="00F4508B">
        <w:rPr>
          <w:rFonts w:eastAsia="Times New Roman" w:cs="Times New Roman"/>
          <w:sz w:val="24"/>
          <w:szCs w:val="24"/>
          <w:lang w:eastAsia="en-GB"/>
        </w:rPr>
        <w:t xml:space="preserve"> </w:t>
      </w:r>
      <w:r w:rsidR="00BA4DC6">
        <w:rPr>
          <w:rFonts w:eastAsia="Times New Roman" w:cs="Times New Roman"/>
          <w:sz w:val="24"/>
          <w:szCs w:val="24"/>
          <w:lang w:eastAsia="en-GB"/>
        </w:rPr>
        <w:t xml:space="preserve">to address eldercare </w:t>
      </w:r>
      <w:r w:rsidR="00D00A16">
        <w:rPr>
          <w:rFonts w:eastAsia="Times New Roman" w:cs="Times New Roman"/>
          <w:sz w:val="24"/>
          <w:szCs w:val="24"/>
          <w:lang w:eastAsia="en-GB"/>
        </w:rPr>
        <w:t>are</w:t>
      </w:r>
      <w:r w:rsidR="00823DE4" w:rsidRPr="00F4508B">
        <w:rPr>
          <w:rFonts w:eastAsia="Times New Roman" w:cs="Times New Roman"/>
          <w:sz w:val="24"/>
          <w:szCs w:val="24"/>
          <w:lang w:eastAsia="en-GB"/>
        </w:rPr>
        <w:t xml:space="preserve"> straightforward and show that the EU needs to develop as a matter of urgency suitable strategies.  </w:t>
      </w:r>
      <w:r w:rsidR="00C13493" w:rsidRPr="00F4508B">
        <w:rPr>
          <w:rFonts w:eastAsia="Times New Roman" w:cs="Times New Roman"/>
          <w:sz w:val="24"/>
          <w:szCs w:val="24"/>
          <w:lang w:eastAsia="en-GB"/>
        </w:rPr>
        <w:t xml:space="preserve">However, to focus </w:t>
      </w:r>
      <w:r>
        <w:rPr>
          <w:rFonts w:eastAsia="Times New Roman" w:cs="Times New Roman"/>
          <w:sz w:val="24"/>
          <w:szCs w:val="24"/>
          <w:lang w:eastAsia="en-GB"/>
        </w:rPr>
        <w:t>the</w:t>
      </w:r>
      <w:r w:rsidR="00C13493" w:rsidRPr="00F4508B">
        <w:rPr>
          <w:rFonts w:eastAsia="Times New Roman" w:cs="Times New Roman"/>
          <w:sz w:val="24"/>
          <w:szCs w:val="24"/>
          <w:lang w:eastAsia="en-GB"/>
        </w:rPr>
        <w:t xml:space="preserve"> policy development discourse </w:t>
      </w:r>
      <w:r w:rsidR="00C13493" w:rsidRPr="00F4508B">
        <w:rPr>
          <w:rFonts w:cs="Times New Roman"/>
          <w:sz w:val="24"/>
          <w:szCs w:val="24"/>
        </w:rPr>
        <w:t xml:space="preserve">merely on economic concerns, </w:t>
      </w:r>
      <w:r>
        <w:rPr>
          <w:rFonts w:cs="Times New Roman"/>
          <w:sz w:val="24"/>
          <w:szCs w:val="24"/>
        </w:rPr>
        <w:t>is likely to</w:t>
      </w:r>
      <w:r w:rsidR="00F4508B" w:rsidRPr="00F4508B">
        <w:rPr>
          <w:rFonts w:cs="Times New Roman"/>
          <w:sz w:val="24"/>
          <w:szCs w:val="24"/>
        </w:rPr>
        <w:t xml:space="preserve"> lead to l</w:t>
      </w:r>
      <w:r w:rsidR="00C13493" w:rsidRPr="00F4508B">
        <w:rPr>
          <w:rFonts w:cs="Times New Roman"/>
          <w:sz w:val="24"/>
          <w:szCs w:val="24"/>
        </w:rPr>
        <w:t xml:space="preserve">egislative solutions which simply seek to ensure that </w:t>
      </w:r>
      <w:r w:rsidR="00C13493" w:rsidRPr="00F4508B">
        <w:rPr>
          <w:rFonts w:cs="Times New Roman"/>
          <w:i/>
          <w:sz w:val="24"/>
          <w:szCs w:val="24"/>
        </w:rPr>
        <w:t>some form</w:t>
      </w:r>
      <w:r w:rsidR="00C13493" w:rsidRPr="00F4508B">
        <w:rPr>
          <w:rFonts w:cs="Times New Roman"/>
          <w:sz w:val="24"/>
          <w:szCs w:val="24"/>
        </w:rPr>
        <w:t xml:space="preserve"> of care is provided; and a risk that any legislative proposals which are developed may then not be sufficiently sensitive to the needs of those involved and the choices of both carer and cared for as to how and by whom care will be provided.</w:t>
      </w:r>
      <w:r w:rsidR="00F4508B" w:rsidRPr="00F4508B">
        <w:rPr>
          <w:rStyle w:val="FootnoteReference"/>
          <w:rFonts w:cs="Times New Roman"/>
          <w:sz w:val="24"/>
          <w:szCs w:val="24"/>
        </w:rPr>
        <w:footnoteReference w:id="37"/>
      </w:r>
    </w:p>
    <w:p w14:paraId="0F1365E6" w14:textId="72A9E794" w:rsidR="00BA4DC6" w:rsidRPr="00E1277D" w:rsidRDefault="00F4508B" w:rsidP="00A95ABC">
      <w:pPr>
        <w:spacing w:after="0"/>
        <w:jc w:val="both"/>
        <w:rPr>
          <w:rFonts w:eastAsia="Times New Roman" w:cs="Times New Roman"/>
          <w:sz w:val="24"/>
          <w:szCs w:val="24"/>
          <w:lang w:eastAsia="en-GB"/>
        </w:rPr>
      </w:pPr>
      <w:r>
        <w:rPr>
          <w:rFonts w:eastAsia="Times New Roman" w:cs="Times New Roman"/>
          <w:sz w:val="24"/>
          <w:szCs w:val="24"/>
          <w:lang w:eastAsia="en-GB"/>
        </w:rPr>
        <w:t>The very value of care, indeed, goes beyond its economic currency</w:t>
      </w:r>
      <w:r w:rsidR="00C2694C">
        <w:rPr>
          <w:rFonts w:eastAsia="Times New Roman" w:cs="Times New Roman"/>
          <w:sz w:val="24"/>
          <w:szCs w:val="24"/>
          <w:lang w:eastAsia="en-GB"/>
        </w:rPr>
        <w:t xml:space="preserve"> and the </w:t>
      </w:r>
      <w:r w:rsidR="00C2694C" w:rsidRPr="00823DE4">
        <w:rPr>
          <w:rFonts w:ascii="Calibri" w:eastAsia="Times New Roman" w:hAnsi="Calibri" w:cs="Times New Roman"/>
          <w:sz w:val="24"/>
          <w:szCs w:val="24"/>
          <w:lang w:eastAsia="en-GB"/>
        </w:rPr>
        <w:t xml:space="preserve">economic argument cannot be “decoupled” from moral </w:t>
      </w:r>
      <w:r w:rsidR="00C2694C">
        <w:rPr>
          <w:rFonts w:ascii="Calibri" w:eastAsia="Times New Roman" w:hAnsi="Calibri" w:cs="Times New Roman"/>
          <w:sz w:val="24"/>
          <w:szCs w:val="24"/>
          <w:lang w:eastAsia="en-GB"/>
        </w:rPr>
        <w:t>considerations</w:t>
      </w:r>
      <w:r>
        <w:rPr>
          <w:rFonts w:eastAsia="Times New Roman" w:cs="Times New Roman"/>
          <w:sz w:val="24"/>
          <w:szCs w:val="24"/>
          <w:lang w:eastAsia="en-GB"/>
        </w:rPr>
        <w:t xml:space="preserve">: </w:t>
      </w:r>
      <w:r w:rsidR="00342798">
        <w:rPr>
          <w:rFonts w:ascii="Calibri" w:eastAsia="Times New Roman" w:hAnsi="Calibri" w:cs="Times New Roman"/>
          <w:sz w:val="24"/>
          <w:szCs w:val="24"/>
          <w:lang w:eastAsia="en-GB"/>
        </w:rPr>
        <w:t>c</w:t>
      </w:r>
      <w:r w:rsidR="00823DE4" w:rsidRPr="00823DE4">
        <w:rPr>
          <w:rFonts w:ascii="Calibri" w:eastAsia="Times New Roman" w:hAnsi="Calibri" w:cs="Times New Roman"/>
          <w:sz w:val="24"/>
          <w:szCs w:val="24"/>
          <w:lang w:eastAsia="en-GB"/>
        </w:rPr>
        <w:t>are is the foundation of society</w:t>
      </w:r>
      <w:r w:rsidR="00C2694C">
        <w:rPr>
          <w:rFonts w:ascii="Calibri" w:eastAsia="Times New Roman" w:hAnsi="Calibri" w:cs="Times New Roman"/>
          <w:sz w:val="24"/>
          <w:szCs w:val="24"/>
          <w:lang w:eastAsia="en-GB"/>
        </w:rPr>
        <w:t>,</w:t>
      </w:r>
      <w:r w:rsidR="00823DE4" w:rsidRPr="00823DE4">
        <w:rPr>
          <w:rFonts w:ascii="Calibri" w:eastAsia="Times New Roman" w:hAnsi="Calibri" w:cs="Times New Roman"/>
          <w:sz w:val="24"/>
          <w:szCs w:val="24"/>
          <w:lang w:eastAsia="en-GB"/>
        </w:rPr>
        <w:t xml:space="preserve"> </w:t>
      </w:r>
      <w:r w:rsidR="00C2694C">
        <w:rPr>
          <w:rFonts w:ascii="Calibri" w:eastAsia="Times New Roman" w:hAnsi="Calibri" w:cs="Times New Roman"/>
          <w:sz w:val="24"/>
          <w:szCs w:val="24"/>
          <w:lang w:eastAsia="en-GB"/>
        </w:rPr>
        <w:t>a</w:t>
      </w:r>
      <w:r w:rsidR="00823DE4" w:rsidRPr="00823DE4">
        <w:rPr>
          <w:rFonts w:ascii="Calibri" w:eastAsia="Times New Roman" w:hAnsi="Calibri" w:cs="Times New Roman"/>
          <w:sz w:val="24"/>
          <w:szCs w:val="24"/>
          <w:lang w:eastAsia="en-GB"/>
        </w:rPr>
        <w:t xml:space="preserve"> </w:t>
      </w:r>
      <w:r w:rsidR="00180B7A">
        <w:rPr>
          <w:rFonts w:ascii="Calibri" w:eastAsia="Times New Roman" w:hAnsi="Calibri" w:cs="Times New Roman"/>
          <w:sz w:val="24"/>
          <w:szCs w:val="24"/>
          <w:lang w:eastAsia="en-GB"/>
        </w:rPr>
        <w:t>part of human life,</w:t>
      </w:r>
      <w:r w:rsidR="00180B7A">
        <w:rPr>
          <w:rStyle w:val="FootnoteReference"/>
          <w:rFonts w:ascii="Calibri" w:eastAsia="Times New Roman" w:hAnsi="Calibri" w:cs="Times New Roman"/>
          <w:sz w:val="24"/>
          <w:szCs w:val="24"/>
          <w:lang w:eastAsia="en-GB"/>
        </w:rPr>
        <w:footnoteReference w:id="38"/>
      </w:r>
      <w:r w:rsidR="00180B7A">
        <w:rPr>
          <w:rFonts w:ascii="Calibri" w:eastAsia="Times New Roman" w:hAnsi="Calibri" w:cs="Times New Roman"/>
          <w:sz w:val="24"/>
          <w:szCs w:val="24"/>
          <w:lang w:eastAsia="en-GB"/>
        </w:rPr>
        <w:t xml:space="preserve"> </w:t>
      </w:r>
      <w:r w:rsidR="00823DE4" w:rsidRPr="00823DE4">
        <w:rPr>
          <w:rFonts w:ascii="Calibri" w:eastAsia="Times New Roman" w:hAnsi="Calibri" w:cs="Times New Roman"/>
          <w:sz w:val="24"/>
          <w:szCs w:val="24"/>
          <w:lang w:eastAsia="en-GB"/>
        </w:rPr>
        <w:t>a most basic human need</w:t>
      </w:r>
      <w:r w:rsidR="00823DE4" w:rsidRPr="00823DE4">
        <w:rPr>
          <w:rFonts w:ascii="Calibri" w:eastAsia="Times New Roman" w:hAnsi="Calibri" w:cs="Times New Roman"/>
          <w:sz w:val="24"/>
          <w:szCs w:val="24"/>
          <w:vertAlign w:val="superscript"/>
          <w:lang w:eastAsia="en-GB"/>
        </w:rPr>
        <w:footnoteReference w:id="39"/>
      </w:r>
      <w:r w:rsidR="00823DE4" w:rsidRPr="00823DE4">
        <w:rPr>
          <w:rFonts w:ascii="Calibri" w:eastAsia="Times New Roman" w:hAnsi="Calibri" w:cs="Times New Roman"/>
          <w:sz w:val="24"/>
          <w:szCs w:val="24"/>
          <w:lang w:eastAsia="en-GB"/>
        </w:rPr>
        <w:t xml:space="preserve"> </w:t>
      </w:r>
      <w:r w:rsidR="00180B7A">
        <w:rPr>
          <w:rFonts w:ascii="Calibri" w:eastAsia="Times New Roman" w:hAnsi="Calibri" w:cs="Times New Roman"/>
          <w:sz w:val="24"/>
          <w:szCs w:val="24"/>
          <w:lang w:eastAsia="en-GB"/>
        </w:rPr>
        <w:t>that all of us at some stage will encounter</w:t>
      </w:r>
      <w:r w:rsidR="00823DE4" w:rsidRPr="00823DE4">
        <w:rPr>
          <w:rFonts w:ascii="Calibri" w:eastAsia="Times New Roman" w:hAnsi="Calibri" w:cs="Times New Roman"/>
          <w:sz w:val="24"/>
          <w:szCs w:val="24"/>
          <w:lang w:eastAsia="en-GB"/>
        </w:rPr>
        <w:t>.</w:t>
      </w:r>
      <w:r w:rsidR="00823DE4" w:rsidRPr="00823DE4">
        <w:rPr>
          <w:rFonts w:ascii="Calibri" w:eastAsia="Times New Roman" w:hAnsi="Calibri" w:cs="Times New Roman"/>
          <w:sz w:val="24"/>
          <w:szCs w:val="24"/>
          <w:vertAlign w:val="superscript"/>
          <w:lang w:eastAsia="en-GB"/>
        </w:rPr>
        <w:footnoteReference w:id="40"/>
      </w:r>
      <w:r w:rsidR="00823DE4" w:rsidRPr="00823DE4">
        <w:rPr>
          <w:rFonts w:ascii="Calibri" w:eastAsia="Times New Roman" w:hAnsi="Calibri" w:cs="Times New Roman"/>
          <w:sz w:val="24"/>
          <w:szCs w:val="24"/>
          <w:lang w:eastAsia="en-GB"/>
        </w:rPr>
        <w:t xml:space="preserve">  </w:t>
      </w:r>
      <w:r w:rsidR="00342798">
        <w:rPr>
          <w:rFonts w:ascii="Calibri" w:eastAsia="Times New Roman" w:hAnsi="Calibri" w:cs="Times New Roman"/>
          <w:sz w:val="24"/>
          <w:szCs w:val="24"/>
          <w:lang w:eastAsia="en-GB"/>
        </w:rPr>
        <w:t>In particular</w:t>
      </w:r>
      <w:r w:rsidR="00801DCF">
        <w:rPr>
          <w:rFonts w:ascii="Calibri" w:eastAsia="Times New Roman" w:hAnsi="Calibri" w:cs="Times New Roman"/>
          <w:sz w:val="24"/>
          <w:szCs w:val="24"/>
          <w:lang w:eastAsia="en-GB"/>
        </w:rPr>
        <w:t>,</w:t>
      </w:r>
      <w:r w:rsidR="00342798">
        <w:rPr>
          <w:rFonts w:ascii="Calibri" w:eastAsia="Times New Roman" w:hAnsi="Calibri" w:cs="Times New Roman"/>
          <w:sz w:val="24"/>
          <w:szCs w:val="24"/>
          <w:lang w:eastAsia="en-GB"/>
        </w:rPr>
        <w:t xml:space="preserve"> without LTC</w:t>
      </w:r>
      <w:r w:rsidR="00801DCF">
        <w:rPr>
          <w:rFonts w:ascii="Calibri" w:eastAsia="Times New Roman" w:hAnsi="Calibri" w:cs="Times New Roman"/>
          <w:sz w:val="24"/>
          <w:szCs w:val="24"/>
          <w:lang w:eastAsia="en-GB"/>
        </w:rPr>
        <w:t xml:space="preserve"> </w:t>
      </w:r>
      <w:r w:rsidR="00C2694C">
        <w:rPr>
          <w:rFonts w:ascii="Calibri" w:eastAsia="Times New Roman" w:hAnsi="Calibri" w:cs="Times New Roman"/>
          <w:sz w:val="24"/>
          <w:szCs w:val="24"/>
          <w:lang w:eastAsia="en-GB"/>
        </w:rPr>
        <w:t xml:space="preserve">certain </w:t>
      </w:r>
      <w:r w:rsidR="00D00A16">
        <w:rPr>
          <w:rFonts w:ascii="Calibri" w:eastAsia="Times New Roman" w:hAnsi="Calibri" w:cs="Times New Roman"/>
          <w:sz w:val="24"/>
          <w:szCs w:val="24"/>
          <w:lang w:eastAsia="en-GB"/>
        </w:rPr>
        <w:t xml:space="preserve">individual </w:t>
      </w:r>
      <w:r w:rsidR="00801DCF">
        <w:rPr>
          <w:rFonts w:ascii="Calibri" w:eastAsia="Times New Roman" w:hAnsi="Calibri" w:cs="Times New Roman"/>
          <w:sz w:val="24"/>
          <w:szCs w:val="24"/>
          <w:lang w:eastAsia="en-GB"/>
        </w:rPr>
        <w:t xml:space="preserve">wellbeing, dignity, health and safety and even survival might be severely compromised. </w:t>
      </w:r>
      <w:r w:rsidR="00C2694C">
        <w:rPr>
          <w:rFonts w:ascii="Calibri" w:eastAsia="Times New Roman" w:hAnsi="Calibri" w:cs="Times New Roman"/>
          <w:sz w:val="24"/>
          <w:szCs w:val="24"/>
          <w:lang w:eastAsia="en-GB"/>
        </w:rPr>
        <w:t xml:space="preserve"> </w:t>
      </w:r>
      <w:r w:rsidR="00C2694C" w:rsidRPr="004A7884">
        <w:rPr>
          <w:rFonts w:eastAsia="Times New Roman" w:cs="Times New Roman"/>
          <w:sz w:val="24"/>
          <w:szCs w:val="24"/>
          <w:lang w:eastAsia="en-GB"/>
        </w:rPr>
        <w:t xml:space="preserve">The same argument applies to </w:t>
      </w:r>
      <w:r w:rsidR="00823DE4" w:rsidRPr="004A7884">
        <w:rPr>
          <w:rFonts w:eastAsia="Times New Roman" w:cs="Times New Roman"/>
          <w:sz w:val="24"/>
          <w:szCs w:val="24"/>
          <w:lang w:eastAsia="en-GB"/>
        </w:rPr>
        <w:t>carers</w:t>
      </w:r>
      <w:r w:rsidR="00C2694C" w:rsidRPr="004A7884">
        <w:rPr>
          <w:rFonts w:eastAsia="Times New Roman" w:cs="Times New Roman"/>
          <w:sz w:val="24"/>
          <w:szCs w:val="24"/>
          <w:lang w:eastAsia="en-GB"/>
        </w:rPr>
        <w:t xml:space="preserve">:  they should be valued </w:t>
      </w:r>
      <w:r w:rsidR="00823DE4" w:rsidRPr="004A7884">
        <w:rPr>
          <w:rFonts w:eastAsia="Times New Roman" w:cs="Times New Roman"/>
          <w:sz w:val="24"/>
          <w:szCs w:val="24"/>
          <w:lang w:eastAsia="en-GB"/>
        </w:rPr>
        <w:t>for their contribution to society rather than focusing on their reduced potential in the employment market.</w:t>
      </w:r>
      <w:r w:rsidR="00823DE4" w:rsidRPr="004A7884">
        <w:rPr>
          <w:rFonts w:eastAsia="Times New Roman" w:cs="Times New Roman"/>
          <w:sz w:val="24"/>
          <w:szCs w:val="24"/>
          <w:vertAlign w:val="superscript"/>
          <w:lang w:eastAsia="en-GB"/>
        </w:rPr>
        <w:footnoteReference w:id="41"/>
      </w:r>
      <w:r w:rsidR="00823DE4" w:rsidRPr="004A7884">
        <w:rPr>
          <w:rFonts w:eastAsia="Times New Roman" w:cs="Times New Roman"/>
          <w:sz w:val="24"/>
          <w:szCs w:val="24"/>
          <w:lang w:eastAsia="en-GB"/>
        </w:rPr>
        <w:t xml:space="preserve">  </w:t>
      </w:r>
      <w:r w:rsidR="00BA4DC6" w:rsidRPr="004A7884">
        <w:rPr>
          <w:rFonts w:cs="Times New Roman"/>
          <w:sz w:val="24"/>
          <w:szCs w:val="24"/>
        </w:rPr>
        <w:t xml:space="preserve">There is </w:t>
      </w:r>
      <w:r w:rsidR="000E6D58">
        <w:rPr>
          <w:rFonts w:cs="Times New Roman"/>
          <w:sz w:val="24"/>
          <w:szCs w:val="24"/>
        </w:rPr>
        <w:t>also</w:t>
      </w:r>
      <w:r w:rsidR="00BA4DC6" w:rsidRPr="004A7884">
        <w:rPr>
          <w:rFonts w:cs="Times New Roman"/>
          <w:sz w:val="24"/>
          <w:szCs w:val="24"/>
        </w:rPr>
        <w:t xml:space="preserve"> a wealth of evidence </w:t>
      </w:r>
      <w:r w:rsidR="000E6D58">
        <w:rPr>
          <w:rFonts w:cs="Times New Roman"/>
          <w:sz w:val="24"/>
          <w:szCs w:val="24"/>
        </w:rPr>
        <w:t xml:space="preserve">emphasising </w:t>
      </w:r>
      <w:r w:rsidR="00BA4DC6" w:rsidRPr="004A7884">
        <w:rPr>
          <w:rFonts w:cs="Times New Roman"/>
          <w:sz w:val="24"/>
          <w:szCs w:val="24"/>
        </w:rPr>
        <w:t>that caring does not only</w:t>
      </w:r>
      <w:r w:rsidR="00BA4DC6" w:rsidRPr="00334D72">
        <w:rPr>
          <w:rFonts w:ascii="Times New Roman" w:hAnsi="Times New Roman" w:cs="Times New Roman"/>
          <w:sz w:val="24"/>
          <w:szCs w:val="24"/>
        </w:rPr>
        <w:t xml:space="preserve"> </w:t>
      </w:r>
      <w:r w:rsidR="00BA4DC6" w:rsidRPr="004A7884">
        <w:rPr>
          <w:rFonts w:cs="Times New Roman"/>
          <w:sz w:val="24"/>
          <w:szCs w:val="24"/>
        </w:rPr>
        <w:t xml:space="preserve">bring financial disadvantage associated with exit from the workforce or a change to </w:t>
      </w:r>
      <w:r w:rsidR="005D7B84" w:rsidRPr="004A7884">
        <w:rPr>
          <w:rFonts w:cs="Times New Roman"/>
          <w:sz w:val="24"/>
          <w:szCs w:val="24"/>
        </w:rPr>
        <w:t>part</w:t>
      </w:r>
      <w:r w:rsidR="005D7B84">
        <w:rPr>
          <w:rFonts w:cs="Times New Roman"/>
          <w:sz w:val="24"/>
          <w:szCs w:val="24"/>
        </w:rPr>
        <w:t>-</w:t>
      </w:r>
      <w:r w:rsidR="00BA4DC6" w:rsidRPr="004A7884">
        <w:rPr>
          <w:rFonts w:cs="Times New Roman"/>
          <w:sz w:val="24"/>
          <w:szCs w:val="24"/>
        </w:rPr>
        <w:t xml:space="preserve">time hours, but also the </w:t>
      </w:r>
      <w:r w:rsidR="005D7B84" w:rsidRPr="004A7884">
        <w:rPr>
          <w:rFonts w:cs="Times New Roman"/>
          <w:sz w:val="24"/>
          <w:szCs w:val="24"/>
        </w:rPr>
        <w:t>so</w:t>
      </w:r>
      <w:r w:rsidR="005D7B84">
        <w:rPr>
          <w:rFonts w:cs="Times New Roman"/>
          <w:sz w:val="24"/>
          <w:szCs w:val="24"/>
        </w:rPr>
        <w:t>-</w:t>
      </w:r>
      <w:r w:rsidR="00BA4DC6" w:rsidRPr="004A7884">
        <w:rPr>
          <w:rFonts w:cs="Times New Roman"/>
          <w:sz w:val="24"/>
          <w:szCs w:val="24"/>
        </w:rPr>
        <w:t>called “hidden costs”</w:t>
      </w:r>
      <w:r w:rsidR="00740B97" w:rsidRPr="004A7884">
        <w:rPr>
          <w:rStyle w:val="FootnoteReference"/>
          <w:rFonts w:cs="Times New Roman"/>
          <w:sz w:val="24"/>
          <w:szCs w:val="24"/>
        </w:rPr>
        <w:footnoteReference w:id="42"/>
      </w:r>
      <w:r w:rsidR="00BA4DC6" w:rsidRPr="004A7884">
        <w:rPr>
          <w:rFonts w:cs="Times New Roman"/>
          <w:sz w:val="24"/>
          <w:szCs w:val="24"/>
        </w:rPr>
        <w:t xml:space="preserve">, </w:t>
      </w:r>
      <w:r w:rsidR="00E1277D" w:rsidRPr="004A7884">
        <w:rPr>
          <w:rFonts w:cs="Times New Roman"/>
          <w:sz w:val="24"/>
          <w:szCs w:val="24"/>
        </w:rPr>
        <w:t xml:space="preserve">such </w:t>
      </w:r>
      <w:r w:rsidR="00E1277D" w:rsidRPr="004A7884">
        <w:rPr>
          <w:rFonts w:cs="Times New Roman"/>
          <w:sz w:val="24"/>
          <w:szCs w:val="24"/>
        </w:rPr>
        <w:lastRenderedPageBreak/>
        <w:t>as</w:t>
      </w:r>
      <w:r w:rsidR="00BA4DC6" w:rsidRPr="004A7884">
        <w:rPr>
          <w:rFonts w:cs="Times New Roman"/>
          <w:sz w:val="24"/>
          <w:szCs w:val="24"/>
        </w:rPr>
        <w:t xml:space="preserve"> poorer </w:t>
      </w:r>
      <w:r w:rsidR="00740B97" w:rsidRPr="004A7884">
        <w:rPr>
          <w:rFonts w:cs="Times New Roman"/>
          <w:sz w:val="24"/>
          <w:szCs w:val="24"/>
        </w:rPr>
        <w:t xml:space="preserve">physical and mental </w:t>
      </w:r>
      <w:r w:rsidR="00BA4DC6" w:rsidRPr="004A7884">
        <w:rPr>
          <w:rFonts w:cs="Times New Roman"/>
          <w:sz w:val="24"/>
          <w:szCs w:val="24"/>
        </w:rPr>
        <w:t>health</w:t>
      </w:r>
      <w:r w:rsidR="00740B97" w:rsidRPr="004A7884">
        <w:rPr>
          <w:rFonts w:cs="Times New Roman"/>
          <w:sz w:val="24"/>
          <w:szCs w:val="24"/>
        </w:rPr>
        <w:t>, depression</w:t>
      </w:r>
      <w:r w:rsidR="00BA4DC6" w:rsidRPr="004A7884">
        <w:rPr>
          <w:rFonts w:cs="Times New Roman"/>
          <w:sz w:val="24"/>
          <w:szCs w:val="24"/>
        </w:rPr>
        <w:t xml:space="preserve"> </w:t>
      </w:r>
      <w:r w:rsidR="00740B97" w:rsidRPr="004A7884">
        <w:rPr>
          <w:rFonts w:cs="Times New Roman"/>
          <w:sz w:val="24"/>
          <w:szCs w:val="24"/>
        </w:rPr>
        <w:t>as well as</w:t>
      </w:r>
      <w:r w:rsidR="00BA4DC6" w:rsidRPr="004A7884">
        <w:rPr>
          <w:rFonts w:cs="Times New Roman"/>
          <w:sz w:val="24"/>
          <w:szCs w:val="24"/>
        </w:rPr>
        <w:t xml:space="preserve"> increased risk of social exclusion</w:t>
      </w:r>
      <w:r w:rsidR="0091425A" w:rsidRPr="004A7884">
        <w:rPr>
          <w:rFonts w:cs="Times New Roman"/>
          <w:sz w:val="24"/>
          <w:szCs w:val="24"/>
        </w:rPr>
        <w:t>.</w:t>
      </w:r>
      <w:r w:rsidR="00BA4DC6" w:rsidRPr="004A7884">
        <w:rPr>
          <w:rStyle w:val="FootnoteReference"/>
          <w:rFonts w:cs="Times New Roman"/>
          <w:sz w:val="24"/>
          <w:szCs w:val="24"/>
        </w:rPr>
        <w:footnoteReference w:id="43"/>
      </w:r>
    </w:p>
    <w:p w14:paraId="0D7CE626" w14:textId="77777777" w:rsidR="00BA4DC6" w:rsidRDefault="00BA4DC6" w:rsidP="00A95ABC">
      <w:pPr>
        <w:spacing w:after="0"/>
        <w:jc w:val="both"/>
        <w:rPr>
          <w:rFonts w:ascii="Calibri" w:eastAsia="Times New Roman" w:hAnsi="Calibri" w:cs="Times New Roman"/>
          <w:sz w:val="24"/>
          <w:szCs w:val="24"/>
          <w:lang w:eastAsia="en-GB"/>
        </w:rPr>
      </w:pPr>
    </w:p>
    <w:p w14:paraId="06B87733" w14:textId="27DC8302" w:rsidR="007C7094" w:rsidRPr="008137E5" w:rsidRDefault="00C2694C" w:rsidP="00A95ABC">
      <w:pPr>
        <w:spacing w:after="0"/>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Seen in this light, (elder)c</w:t>
      </w:r>
      <w:r w:rsidR="00823DE4" w:rsidRPr="00823DE4">
        <w:rPr>
          <w:rFonts w:ascii="Calibri" w:eastAsia="Times New Roman" w:hAnsi="Calibri" w:cs="Times New Roman"/>
          <w:sz w:val="24"/>
          <w:szCs w:val="24"/>
          <w:lang w:eastAsia="en-GB"/>
        </w:rPr>
        <w:t xml:space="preserve">are </w:t>
      </w:r>
      <w:r w:rsidR="00F93177">
        <w:rPr>
          <w:rFonts w:ascii="Calibri" w:eastAsia="Times New Roman" w:hAnsi="Calibri" w:cs="Times New Roman"/>
          <w:sz w:val="24"/>
          <w:szCs w:val="24"/>
          <w:lang w:eastAsia="en-GB"/>
        </w:rPr>
        <w:t>i</w:t>
      </w:r>
      <w:r>
        <w:rPr>
          <w:rFonts w:ascii="Calibri" w:eastAsia="Times New Roman" w:hAnsi="Calibri" w:cs="Times New Roman"/>
          <w:sz w:val="24"/>
          <w:szCs w:val="24"/>
          <w:lang w:eastAsia="en-GB"/>
        </w:rPr>
        <w:t>s a form</w:t>
      </w:r>
      <w:r w:rsidR="00823DE4" w:rsidRPr="00823DE4">
        <w:rPr>
          <w:rFonts w:ascii="Calibri" w:eastAsia="Times New Roman" w:hAnsi="Calibri" w:cs="Times New Roman"/>
          <w:sz w:val="24"/>
          <w:szCs w:val="24"/>
          <w:lang w:eastAsia="en-GB"/>
        </w:rPr>
        <w:t xml:space="preserve"> of social capital</w:t>
      </w:r>
      <w:r w:rsidR="00823DE4" w:rsidRPr="00823DE4">
        <w:rPr>
          <w:rFonts w:ascii="Calibri" w:eastAsia="Times New Roman" w:hAnsi="Calibri" w:cs="Times New Roman"/>
          <w:sz w:val="24"/>
          <w:szCs w:val="24"/>
          <w:vertAlign w:val="superscript"/>
          <w:lang w:eastAsia="en-GB"/>
        </w:rPr>
        <w:footnoteReference w:id="44"/>
      </w:r>
      <w:r w:rsidR="00823DE4" w:rsidRPr="00823DE4">
        <w:rPr>
          <w:rFonts w:ascii="Calibri" w:eastAsia="Times New Roman" w:hAnsi="Calibri" w:cs="Times New Roman"/>
          <w:sz w:val="24"/>
          <w:szCs w:val="24"/>
          <w:lang w:eastAsia="en-GB"/>
        </w:rPr>
        <w:t xml:space="preserve"> that should be constructed as a (at least moral) obligation to provide for people who cannot support themselves</w:t>
      </w:r>
      <w:r w:rsidR="005D7B84">
        <w:rPr>
          <w:rFonts w:ascii="Calibri" w:eastAsia="Times New Roman" w:hAnsi="Calibri" w:cs="Times New Roman"/>
          <w:sz w:val="24"/>
          <w:szCs w:val="24"/>
          <w:lang w:eastAsia="en-GB"/>
        </w:rPr>
        <w:t xml:space="preserve"> any longer</w:t>
      </w:r>
      <w:r w:rsidR="00823DE4" w:rsidRPr="00823DE4">
        <w:rPr>
          <w:rFonts w:ascii="Calibri" w:eastAsia="Times New Roman" w:hAnsi="Calibri" w:cs="Times New Roman"/>
          <w:sz w:val="24"/>
          <w:szCs w:val="24"/>
          <w:lang w:eastAsia="en-GB"/>
        </w:rPr>
        <w:t>.  Accordingly</w:t>
      </w:r>
      <w:r w:rsidR="004A7884">
        <w:rPr>
          <w:rFonts w:ascii="Calibri" w:eastAsia="Times New Roman" w:hAnsi="Calibri" w:cs="Times New Roman"/>
          <w:sz w:val="24"/>
          <w:szCs w:val="24"/>
          <w:lang w:eastAsia="en-GB"/>
        </w:rPr>
        <w:t>,</w:t>
      </w:r>
      <w:r w:rsidR="00823DE4" w:rsidRPr="00823DE4">
        <w:rPr>
          <w:rFonts w:ascii="Calibri" w:eastAsia="Times New Roman" w:hAnsi="Calibri" w:cs="Times New Roman"/>
          <w:sz w:val="24"/>
          <w:szCs w:val="24"/>
          <w:lang w:eastAsia="en-GB"/>
        </w:rPr>
        <w:t xml:space="preserve"> a normative framework that values </w:t>
      </w:r>
      <w:r w:rsidR="000E6D58">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elder</w:t>
      </w:r>
      <w:r w:rsidR="000E6D58">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care</w:t>
      </w:r>
      <w:r w:rsidRPr="00823DE4">
        <w:rPr>
          <w:rFonts w:ascii="Calibri" w:eastAsia="Times New Roman" w:hAnsi="Calibri" w:cs="Times New Roman"/>
          <w:sz w:val="24"/>
          <w:szCs w:val="24"/>
          <w:lang w:eastAsia="en-GB"/>
        </w:rPr>
        <w:t xml:space="preserve"> </w:t>
      </w:r>
      <w:r w:rsidR="00823DE4" w:rsidRPr="00823DE4">
        <w:rPr>
          <w:rFonts w:ascii="Calibri" w:eastAsia="Times New Roman" w:hAnsi="Calibri" w:cs="Times New Roman"/>
          <w:sz w:val="24"/>
          <w:szCs w:val="24"/>
          <w:lang w:eastAsia="en-GB"/>
        </w:rPr>
        <w:t>and support carers</w:t>
      </w:r>
      <w:r w:rsidR="004A7884">
        <w:rPr>
          <w:rFonts w:ascii="Calibri" w:eastAsia="Times New Roman" w:hAnsi="Calibri" w:cs="Times New Roman"/>
          <w:sz w:val="24"/>
          <w:szCs w:val="24"/>
          <w:lang w:eastAsia="en-GB"/>
        </w:rPr>
        <w:t xml:space="preserve"> should be provided</w:t>
      </w:r>
      <w:r w:rsidR="00823DE4" w:rsidRPr="00823DE4">
        <w:rPr>
          <w:rFonts w:ascii="Calibri" w:eastAsia="Times New Roman" w:hAnsi="Calibri" w:cs="Times New Roman"/>
          <w:sz w:val="24"/>
          <w:szCs w:val="24"/>
          <w:lang w:eastAsia="en-GB"/>
        </w:rPr>
        <w:t xml:space="preserve">. </w:t>
      </w:r>
      <w:r w:rsidR="00B77B31">
        <w:rPr>
          <w:rFonts w:ascii="Calibri" w:eastAsia="Times New Roman" w:hAnsi="Calibri" w:cs="Times New Roman"/>
          <w:sz w:val="24"/>
          <w:szCs w:val="24"/>
          <w:lang w:eastAsia="en-GB"/>
        </w:rPr>
        <w:t xml:space="preserve"> (EU) law might struggle to provide such framework within a traditional setting</w:t>
      </w:r>
      <w:r w:rsidR="00D74C19">
        <w:rPr>
          <w:rFonts w:ascii="Calibri" w:eastAsia="Times New Roman" w:hAnsi="Calibri" w:cs="Times New Roman"/>
          <w:sz w:val="24"/>
          <w:szCs w:val="24"/>
          <w:lang w:eastAsia="en-GB"/>
        </w:rPr>
        <w:t xml:space="preserve">.  Indeed this would be more </w:t>
      </w:r>
      <w:r w:rsidR="008137E5" w:rsidRPr="008137E5">
        <w:rPr>
          <w:rFonts w:ascii="Calibri" w:eastAsia="Times New Roman" w:hAnsi="Calibri" w:cs="Times New Roman"/>
          <w:sz w:val="24"/>
          <w:szCs w:val="24"/>
          <w:lang w:eastAsia="en-GB"/>
        </w:rPr>
        <w:t xml:space="preserve">easily </w:t>
      </w:r>
      <w:r w:rsidR="008137E5">
        <w:rPr>
          <w:rFonts w:ascii="Calibri" w:eastAsia="Times New Roman" w:hAnsi="Calibri" w:cs="Times New Roman"/>
          <w:sz w:val="24"/>
          <w:szCs w:val="24"/>
          <w:lang w:eastAsia="en-GB"/>
        </w:rPr>
        <w:t xml:space="preserve">placed </w:t>
      </w:r>
      <w:r w:rsidR="008137E5" w:rsidRPr="008137E5">
        <w:rPr>
          <w:rFonts w:ascii="Calibri" w:eastAsia="Times New Roman" w:hAnsi="Calibri" w:cs="Times New Roman"/>
          <w:sz w:val="24"/>
          <w:szCs w:val="24"/>
          <w:lang w:eastAsia="en-GB"/>
        </w:rPr>
        <w:t>within an ethic of care</w:t>
      </w:r>
      <w:r w:rsidR="008137E5">
        <w:rPr>
          <w:rFonts w:ascii="Calibri" w:eastAsia="Times New Roman" w:hAnsi="Calibri" w:cs="Times New Roman"/>
          <w:sz w:val="24"/>
          <w:szCs w:val="24"/>
          <w:lang w:eastAsia="en-GB"/>
        </w:rPr>
        <w:t xml:space="preserve"> discourse</w:t>
      </w:r>
      <w:r w:rsidR="000E6D58">
        <w:rPr>
          <w:rFonts w:ascii="Calibri" w:eastAsia="Times New Roman" w:hAnsi="Calibri" w:cs="Times New Roman"/>
          <w:sz w:val="24"/>
          <w:szCs w:val="24"/>
          <w:lang w:eastAsia="en-GB"/>
        </w:rPr>
        <w:t>,</w:t>
      </w:r>
      <w:r w:rsidR="008137E5" w:rsidRPr="008137E5">
        <w:rPr>
          <w:rFonts w:ascii="Calibri" w:eastAsia="Times New Roman" w:hAnsi="Calibri" w:cs="Times New Roman"/>
          <w:sz w:val="24"/>
          <w:szCs w:val="24"/>
          <w:vertAlign w:val="superscript"/>
          <w:lang w:eastAsia="en-GB"/>
        </w:rPr>
        <w:footnoteReference w:id="45"/>
      </w:r>
      <w:r w:rsidR="008137E5" w:rsidRPr="008137E5">
        <w:rPr>
          <w:rFonts w:ascii="Calibri" w:eastAsia="Times New Roman" w:hAnsi="Calibri" w:cs="Times New Roman"/>
          <w:sz w:val="24"/>
          <w:szCs w:val="24"/>
          <w:lang w:eastAsia="en-GB"/>
        </w:rPr>
        <w:t xml:space="preserve"> </w:t>
      </w:r>
      <w:r w:rsidR="000E6D58">
        <w:rPr>
          <w:rFonts w:ascii="Calibri" w:eastAsia="Times New Roman" w:hAnsi="Calibri" w:cs="Times New Roman"/>
          <w:sz w:val="24"/>
          <w:szCs w:val="24"/>
          <w:lang w:eastAsia="en-GB"/>
        </w:rPr>
        <w:t xml:space="preserve">rather than in a traditional right-based framework. </w:t>
      </w:r>
      <w:r w:rsidR="008137E5" w:rsidRPr="008137E5">
        <w:rPr>
          <w:rFonts w:ascii="Calibri" w:eastAsia="Times New Roman" w:hAnsi="Calibri" w:cs="Times New Roman"/>
          <w:sz w:val="24"/>
          <w:szCs w:val="24"/>
          <w:lang w:eastAsia="en-GB"/>
        </w:rPr>
        <w:t xml:space="preserve"> Although, the theory on the ethic of care is vast and “there is no complete agreement over what (…) [it] means”</w:t>
      </w:r>
      <w:r w:rsidR="008137E5" w:rsidRPr="008137E5">
        <w:rPr>
          <w:rFonts w:ascii="Calibri" w:eastAsia="Times New Roman" w:hAnsi="Calibri" w:cs="Times New Roman"/>
          <w:sz w:val="24"/>
          <w:szCs w:val="24"/>
          <w:vertAlign w:val="superscript"/>
          <w:lang w:eastAsia="en-GB"/>
        </w:rPr>
        <w:footnoteReference w:id="46"/>
      </w:r>
      <w:r w:rsidR="008137E5" w:rsidRPr="008137E5">
        <w:rPr>
          <w:rFonts w:ascii="Calibri" w:eastAsia="Times New Roman" w:hAnsi="Calibri" w:cs="Times New Roman"/>
          <w:sz w:val="24"/>
          <w:szCs w:val="24"/>
          <w:lang w:eastAsia="en-GB"/>
        </w:rPr>
        <w:t xml:space="preserve"> it is widely acknowledged that it is based on the idea that life is a series of mutual and interdependent relationships without which we would not exist.</w:t>
      </w:r>
      <w:r w:rsidR="008137E5" w:rsidRPr="008137E5">
        <w:rPr>
          <w:rFonts w:ascii="Calibri" w:eastAsia="Times New Roman" w:hAnsi="Calibri" w:cs="Times New Roman"/>
          <w:sz w:val="24"/>
          <w:szCs w:val="24"/>
          <w:vertAlign w:val="superscript"/>
          <w:lang w:eastAsia="en-GB"/>
        </w:rPr>
        <w:footnoteReference w:id="47"/>
      </w:r>
      <w:r w:rsidR="008137E5" w:rsidRPr="008137E5">
        <w:rPr>
          <w:rFonts w:ascii="Calibri" w:eastAsia="Times New Roman" w:hAnsi="Calibri" w:cs="Times New Roman"/>
          <w:sz w:val="24"/>
          <w:szCs w:val="24"/>
          <w:lang w:eastAsia="en-GB"/>
        </w:rPr>
        <w:t xml:space="preserve">  According to an ethic of care, these relationships are used as a starting point to revaluate legal norms and, accordingly, the law should promote care and enable caring relationships.</w:t>
      </w:r>
      <w:r w:rsidR="008137E5" w:rsidRPr="008137E5">
        <w:rPr>
          <w:rFonts w:ascii="Calibri" w:eastAsia="Times New Roman" w:hAnsi="Calibri" w:cs="Times New Roman"/>
          <w:sz w:val="24"/>
          <w:szCs w:val="24"/>
          <w:vertAlign w:val="superscript"/>
          <w:lang w:eastAsia="en-GB"/>
        </w:rPr>
        <w:footnoteReference w:id="48"/>
      </w:r>
      <w:r w:rsidR="008137E5" w:rsidRPr="008137E5">
        <w:rPr>
          <w:rFonts w:ascii="Calibri" w:eastAsia="Times New Roman" w:hAnsi="Calibri" w:cs="Times New Roman"/>
          <w:sz w:val="24"/>
          <w:szCs w:val="24"/>
          <w:lang w:eastAsia="en-GB"/>
        </w:rPr>
        <w:t xml:space="preserve">  The primary focus should be “what is my proper obligation within the context of this relationship” rather than “is it my right to do X?”</w:t>
      </w:r>
      <w:r w:rsidR="008137E5" w:rsidRPr="008137E5">
        <w:rPr>
          <w:rFonts w:ascii="Calibri" w:eastAsia="Times New Roman" w:hAnsi="Calibri" w:cs="Times New Roman"/>
          <w:sz w:val="24"/>
          <w:szCs w:val="24"/>
          <w:vertAlign w:val="superscript"/>
          <w:lang w:eastAsia="en-GB"/>
        </w:rPr>
        <w:footnoteReference w:id="49"/>
      </w:r>
      <w:r w:rsidR="008137E5" w:rsidRPr="008137E5">
        <w:rPr>
          <w:rFonts w:ascii="Calibri" w:eastAsia="Times New Roman" w:hAnsi="Calibri" w:cs="Times New Roman"/>
          <w:sz w:val="24"/>
          <w:szCs w:val="24"/>
          <w:lang w:eastAsia="en-GB"/>
        </w:rPr>
        <w:t xml:space="preserve">  </w:t>
      </w:r>
    </w:p>
    <w:p w14:paraId="259A0164" w14:textId="77777777" w:rsidR="00E03A19" w:rsidRDefault="00E03A19" w:rsidP="00E230B4">
      <w:pPr>
        <w:spacing w:after="0"/>
        <w:jc w:val="both"/>
        <w:rPr>
          <w:rFonts w:cs="Times New Roman"/>
          <w:b/>
          <w:sz w:val="24"/>
          <w:szCs w:val="24"/>
        </w:rPr>
      </w:pPr>
    </w:p>
    <w:p w14:paraId="2420564D" w14:textId="568AFC9E" w:rsidR="009726CB" w:rsidRPr="00BA1C94" w:rsidRDefault="00796CE0" w:rsidP="00E230B4">
      <w:pPr>
        <w:pStyle w:val="ListParagraph"/>
        <w:numPr>
          <w:ilvl w:val="0"/>
          <w:numId w:val="6"/>
        </w:numPr>
        <w:spacing w:after="0"/>
        <w:ind w:left="0"/>
        <w:jc w:val="both"/>
        <w:rPr>
          <w:rFonts w:cs="Times New Roman"/>
          <w:b/>
          <w:sz w:val="24"/>
          <w:szCs w:val="24"/>
        </w:rPr>
      </w:pPr>
      <w:r w:rsidRPr="00BA1C94">
        <w:rPr>
          <w:rFonts w:cs="Times New Roman"/>
          <w:b/>
          <w:sz w:val="24"/>
          <w:szCs w:val="24"/>
        </w:rPr>
        <w:t xml:space="preserve">The EU </w:t>
      </w:r>
      <w:r w:rsidR="009726CB" w:rsidRPr="00BA1C94">
        <w:rPr>
          <w:rFonts w:cs="Times New Roman"/>
          <w:b/>
          <w:sz w:val="24"/>
          <w:szCs w:val="24"/>
        </w:rPr>
        <w:t>Legal Provisions</w:t>
      </w:r>
    </w:p>
    <w:p w14:paraId="3F7BFF30" w14:textId="71B4E1FD" w:rsidR="003D6AAC" w:rsidRDefault="003D6AAC" w:rsidP="00A95ABC">
      <w:pPr>
        <w:pStyle w:val="Default"/>
        <w:spacing w:line="276" w:lineRule="auto"/>
        <w:jc w:val="both"/>
        <w:rPr>
          <w:rFonts w:asciiTheme="minorHAnsi" w:hAnsiTheme="minorHAnsi"/>
          <w:color w:val="auto"/>
        </w:rPr>
      </w:pPr>
      <w:r>
        <w:rPr>
          <w:rFonts w:asciiTheme="minorHAnsi" w:hAnsiTheme="minorHAnsi"/>
          <w:color w:val="auto"/>
        </w:rPr>
        <w:t xml:space="preserve">In light of the above (brief) discussion it appears that there </w:t>
      </w:r>
      <w:r w:rsidR="00E1277D">
        <w:rPr>
          <w:rFonts w:asciiTheme="minorHAnsi" w:hAnsiTheme="minorHAnsi"/>
          <w:color w:val="auto"/>
        </w:rPr>
        <w:t>is a</w:t>
      </w:r>
      <w:r w:rsidR="00BF2A3B">
        <w:rPr>
          <w:rFonts w:asciiTheme="minorHAnsi" w:hAnsiTheme="minorHAnsi"/>
          <w:color w:val="auto"/>
        </w:rPr>
        <w:t xml:space="preserve"> clear rational to address</w:t>
      </w:r>
      <w:r w:rsidR="00A85D7F">
        <w:rPr>
          <w:rFonts w:asciiTheme="minorHAnsi" w:hAnsiTheme="minorHAnsi"/>
          <w:color w:val="auto"/>
        </w:rPr>
        <w:t xml:space="preserve"> LTC</w:t>
      </w:r>
      <w:r>
        <w:rPr>
          <w:rFonts w:asciiTheme="minorHAnsi" w:hAnsiTheme="minorHAnsi"/>
          <w:color w:val="auto"/>
        </w:rPr>
        <w:t xml:space="preserve"> at EU level.  </w:t>
      </w:r>
      <w:r w:rsidRPr="003D6AAC">
        <w:rPr>
          <w:rFonts w:asciiTheme="minorHAnsi" w:hAnsiTheme="minorHAnsi"/>
          <w:color w:val="auto"/>
        </w:rPr>
        <w:t>A</w:t>
      </w:r>
      <w:r>
        <w:rPr>
          <w:rFonts w:asciiTheme="minorHAnsi" w:hAnsiTheme="minorHAnsi"/>
          <w:color w:val="auto"/>
        </w:rPr>
        <w:t xml:space="preserve">nd indeed, arguably, over the years, </w:t>
      </w:r>
      <w:r w:rsidR="008C2677">
        <w:rPr>
          <w:rFonts w:asciiTheme="minorHAnsi" w:hAnsiTheme="minorHAnsi"/>
          <w:color w:val="auto"/>
        </w:rPr>
        <w:t>a “rhetoric</w:t>
      </w:r>
      <w:r w:rsidRPr="003D6AAC">
        <w:rPr>
          <w:rFonts w:asciiTheme="minorHAnsi" w:hAnsiTheme="minorHAnsi"/>
          <w:color w:val="auto"/>
        </w:rPr>
        <w:t xml:space="preserve"> of care</w:t>
      </w:r>
      <w:r w:rsidR="008C2677">
        <w:rPr>
          <w:rFonts w:asciiTheme="minorHAnsi" w:hAnsiTheme="minorHAnsi"/>
          <w:color w:val="auto"/>
        </w:rPr>
        <w:t>”</w:t>
      </w:r>
      <w:r w:rsidRPr="003D6AAC">
        <w:rPr>
          <w:rFonts w:asciiTheme="minorHAnsi" w:hAnsiTheme="minorHAnsi"/>
          <w:color w:val="auto"/>
        </w:rPr>
        <w:t xml:space="preserve"> has permeated the EU agenda. </w:t>
      </w:r>
      <w:r>
        <w:rPr>
          <w:rFonts w:asciiTheme="minorHAnsi" w:hAnsiTheme="minorHAnsi"/>
          <w:color w:val="auto"/>
        </w:rPr>
        <w:t xml:space="preserve"> </w:t>
      </w:r>
      <w:r w:rsidRPr="00640968">
        <w:rPr>
          <w:rFonts w:asciiTheme="minorHAnsi" w:hAnsiTheme="minorHAnsi"/>
          <w:color w:val="auto"/>
        </w:rPr>
        <w:t>Already in 199</w:t>
      </w:r>
      <w:r w:rsidR="00FC06BE">
        <w:rPr>
          <w:rFonts w:asciiTheme="minorHAnsi" w:hAnsiTheme="minorHAnsi"/>
          <w:color w:val="auto"/>
        </w:rPr>
        <w:t>7</w:t>
      </w:r>
      <w:r w:rsidRPr="00640968">
        <w:rPr>
          <w:rFonts w:asciiTheme="minorHAnsi" w:hAnsiTheme="minorHAnsi"/>
          <w:color w:val="auto"/>
        </w:rPr>
        <w:t xml:space="preserve">, Advocate General Cosmas referred to carers as “unsung heroes” and pointed out that “measures should also be taken to protect those persons because of </w:t>
      </w:r>
      <w:r w:rsidRPr="00640968">
        <w:rPr>
          <w:rFonts w:asciiTheme="minorHAnsi" w:hAnsiTheme="minorHAnsi"/>
          <w:color w:val="auto"/>
        </w:rPr>
        <w:lastRenderedPageBreak/>
        <w:t>the range of risks they run (psychological damage, social isolation, and so forth) as a result of being continually occupied in looking after someone reliant on care”.</w:t>
      </w:r>
      <w:r w:rsidR="00640968" w:rsidRPr="00640968">
        <w:rPr>
          <w:rFonts w:ascii="Calibri" w:eastAsia="Times New Roman" w:hAnsi="Calibri"/>
          <w:color w:val="auto"/>
          <w:vertAlign w:val="superscript"/>
          <w:lang w:eastAsia="en-GB"/>
        </w:rPr>
        <w:t xml:space="preserve"> </w:t>
      </w:r>
      <w:r w:rsidR="00640968" w:rsidRPr="00640968">
        <w:rPr>
          <w:rFonts w:asciiTheme="minorHAnsi" w:hAnsiTheme="minorHAnsi"/>
          <w:color w:val="auto"/>
          <w:vertAlign w:val="superscript"/>
        </w:rPr>
        <w:footnoteReference w:id="50"/>
      </w:r>
      <w:r w:rsidRPr="00640968">
        <w:rPr>
          <w:rFonts w:asciiTheme="minorHAnsi" w:hAnsiTheme="minorHAnsi"/>
          <w:color w:val="auto"/>
        </w:rPr>
        <w:t xml:space="preserve"> </w:t>
      </w:r>
      <w:r w:rsidR="00386217" w:rsidRPr="00640968">
        <w:rPr>
          <w:rFonts w:asciiTheme="minorHAnsi" w:hAnsiTheme="minorHAnsi"/>
          <w:color w:val="auto"/>
        </w:rPr>
        <w:t xml:space="preserve"> </w:t>
      </w:r>
    </w:p>
    <w:p w14:paraId="13E3288C" w14:textId="7815AFA0" w:rsidR="005A6115" w:rsidRPr="00FA6B45" w:rsidRDefault="003D6AAC" w:rsidP="00FA6B45">
      <w:pPr>
        <w:pStyle w:val="Default"/>
        <w:spacing w:line="276" w:lineRule="auto"/>
        <w:jc w:val="both"/>
        <w:rPr>
          <w:rFonts w:asciiTheme="minorHAnsi" w:hAnsiTheme="minorHAnsi"/>
        </w:rPr>
      </w:pPr>
      <w:r w:rsidRPr="00640968">
        <w:rPr>
          <w:rFonts w:asciiTheme="minorHAnsi" w:hAnsiTheme="minorHAnsi"/>
          <w:color w:val="auto"/>
        </w:rPr>
        <w:t>However,</w:t>
      </w:r>
      <w:r w:rsidR="00A85D7F" w:rsidRPr="00640968">
        <w:rPr>
          <w:rFonts w:asciiTheme="minorHAnsi" w:hAnsiTheme="minorHAnsi"/>
          <w:color w:val="auto"/>
        </w:rPr>
        <w:t xml:space="preserve"> </w:t>
      </w:r>
      <w:r w:rsidR="005D7B84">
        <w:rPr>
          <w:rFonts w:asciiTheme="minorHAnsi" w:hAnsiTheme="minorHAnsi"/>
          <w:color w:val="auto"/>
        </w:rPr>
        <w:t>overall</w:t>
      </w:r>
      <w:r w:rsidR="00A85D7F" w:rsidRPr="00640968">
        <w:rPr>
          <w:rFonts w:asciiTheme="minorHAnsi" w:hAnsiTheme="minorHAnsi"/>
          <w:color w:val="auto"/>
        </w:rPr>
        <w:t>,</w:t>
      </w:r>
      <w:r w:rsidR="00BF2A3B" w:rsidRPr="00640968">
        <w:rPr>
          <w:rFonts w:asciiTheme="minorHAnsi" w:hAnsiTheme="minorHAnsi"/>
          <w:color w:val="auto"/>
        </w:rPr>
        <w:t xml:space="preserve"> </w:t>
      </w:r>
      <w:r w:rsidR="00E1277D" w:rsidRPr="00640968">
        <w:rPr>
          <w:rFonts w:asciiTheme="minorHAnsi" w:hAnsiTheme="minorHAnsi"/>
          <w:color w:val="auto"/>
        </w:rPr>
        <w:t xml:space="preserve">the </w:t>
      </w:r>
      <w:r w:rsidR="00BF2A3B" w:rsidRPr="00640968">
        <w:rPr>
          <w:rFonts w:asciiTheme="minorHAnsi" w:hAnsiTheme="minorHAnsi"/>
          <w:color w:val="auto"/>
        </w:rPr>
        <w:t xml:space="preserve">EU engagement </w:t>
      </w:r>
      <w:r w:rsidR="00A85D7F" w:rsidRPr="00640968">
        <w:rPr>
          <w:rFonts w:asciiTheme="minorHAnsi" w:hAnsiTheme="minorHAnsi"/>
          <w:color w:val="auto"/>
        </w:rPr>
        <w:t xml:space="preserve">in this area </w:t>
      </w:r>
      <w:r w:rsidR="00BF2A3B" w:rsidRPr="00640968">
        <w:rPr>
          <w:rFonts w:asciiTheme="minorHAnsi" w:hAnsiTheme="minorHAnsi"/>
          <w:color w:val="auto"/>
        </w:rPr>
        <w:t xml:space="preserve">has been scarce.  </w:t>
      </w:r>
      <w:r w:rsidR="00A85D7F" w:rsidRPr="00640968">
        <w:rPr>
          <w:rFonts w:asciiTheme="minorHAnsi" w:hAnsiTheme="minorHAnsi"/>
          <w:color w:val="auto"/>
        </w:rPr>
        <w:t xml:space="preserve">This </w:t>
      </w:r>
      <w:r w:rsidR="005334D7" w:rsidRPr="00640968">
        <w:rPr>
          <w:rFonts w:asciiTheme="minorHAnsi" w:hAnsiTheme="minorHAnsi"/>
          <w:color w:val="auto"/>
        </w:rPr>
        <w:t xml:space="preserve">is </w:t>
      </w:r>
      <w:r w:rsidR="008C2677" w:rsidRPr="00640968">
        <w:rPr>
          <w:rFonts w:asciiTheme="minorHAnsi" w:hAnsiTheme="minorHAnsi"/>
          <w:color w:val="auto"/>
        </w:rPr>
        <w:t xml:space="preserve">due to several reasons. </w:t>
      </w:r>
      <w:r w:rsidR="00835115">
        <w:rPr>
          <w:rFonts w:asciiTheme="minorHAnsi" w:hAnsiTheme="minorHAnsi"/>
          <w:color w:val="auto"/>
        </w:rPr>
        <w:t xml:space="preserve"> </w:t>
      </w:r>
      <w:r w:rsidR="00EF7B7B">
        <w:rPr>
          <w:rFonts w:asciiTheme="minorHAnsi" w:hAnsiTheme="minorHAnsi"/>
          <w:color w:val="auto"/>
        </w:rPr>
        <w:t>First</w:t>
      </w:r>
      <w:r w:rsidR="00835115">
        <w:rPr>
          <w:rFonts w:asciiTheme="minorHAnsi" w:hAnsiTheme="minorHAnsi"/>
          <w:color w:val="auto"/>
        </w:rPr>
        <w:t>,</w:t>
      </w:r>
      <w:r w:rsidR="00EF7B7B">
        <w:rPr>
          <w:rFonts w:asciiTheme="minorHAnsi" w:hAnsiTheme="minorHAnsi"/>
          <w:color w:val="auto"/>
        </w:rPr>
        <w:t xml:space="preserve"> the development of care policy is not a direct competence of the EU. Second</w:t>
      </w:r>
      <w:r w:rsidR="00835115">
        <w:rPr>
          <w:rFonts w:asciiTheme="minorHAnsi" w:hAnsiTheme="minorHAnsi"/>
          <w:color w:val="auto"/>
        </w:rPr>
        <w:t>ly</w:t>
      </w:r>
      <w:r w:rsidR="00EF7B7B">
        <w:rPr>
          <w:rFonts w:asciiTheme="minorHAnsi" w:hAnsiTheme="minorHAnsi"/>
          <w:color w:val="auto"/>
        </w:rPr>
        <w:t xml:space="preserve">, </w:t>
      </w:r>
      <w:r w:rsidR="00E1277D" w:rsidRPr="00640968">
        <w:rPr>
          <w:rFonts w:asciiTheme="minorHAnsi" w:hAnsiTheme="minorHAnsi"/>
          <w:color w:val="auto"/>
        </w:rPr>
        <w:t>care has traditionally been perceived as a private issue</w:t>
      </w:r>
      <w:r w:rsidR="008C2677" w:rsidRPr="00640968">
        <w:rPr>
          <w:rFonts w:asciiTheme="minorHAnsi" w:hAnsiTheme="minorHAnsi"/>
          <w:color w:val="auto"/>
        </w:rPr>
        <w:t xml:space="preserve">, rather than a </w:t>
      </w:r>
      <w:r w:rsidR="008C2677" w:rsidRPr="00640968">
        <w:rPr>
          <w:rFonts w:asciiTheme="minorHAnsi" w:hAnsiTheme="minorHAnsi"/>
        </w:rPr>
        <w:t>“genuine economic activity.”</w:t>
      </w:r>
      <w:r w:rsidR="008C2677" w:rsidRPr="00640968">
        <w:rPr>
          <w:rFonts w:asciiTheme="minorHAnsi" w:hAnsiTheme="minorHAnsi"/>
          <w:vertAlign w:val="superscript"/>
        </w:rPr>
        <w:footnoteReference w:id="51"/>
      </w:r>
      <w:r w:rsidR="008C2677" w:rsidRPr="00640968">
        <w:rPr>
          <w:rFonts w:asciiTheme="minorHAnsi" w:hAnsiTheme="minorHAnsi"/>
        </w:rPr>
        <w:t xml:space="preserve">  </w:t>
      </w:r>
      <w:r w:rsidR="00640968">
        <w:rPr>
          <w:rFonts w:asciiTheme="minorHAnsi" w:hAnsiTheme="minorHAnsi"/>
        </w:rPr>
        <w:t>As such, i</w:t>
      </w:r>
      <w:r w:rsidR="008C2677" w:rsidRPr="00640968">
        <w:rPr>
          <w:rFonts w:asciiTheme="minorHAnsi" w:hAnsiTheme="minorHAnsi"/>
        </w:rPr>
        <w:t>t is often invisible, unpaid, not all of it is productive</w:t>
      </w:r>
      <w:r w:rsidR="008C2677" w:rsidRPr="00640968">
        <w:rPr>
          <w:rFonts w:asciiTheme="minorHAnsi" w:hAnsiTheme="minorHAnsi"/>
          <w:vertAlign w:val="superscript"/>
        </w:rPr>
        <w:footnoteReference w:id="52"/>
      </w:r>
      <w:r w:rsidR="008C2677" w:rsidRPr="00640968">
        <w:rPr>
          <w:rFonts w:asciiTheme="minorHAnsi" w:hAnsiTheme="minorHAnsi"/>
        </w:rPr>
        <w:t xml:space="preserve"> often performed gratuitously by women, rather than men and thus </w:t>
      </w:r>
      <w:r w:rsidR="00EF7B7B">
        <w:rPr>
          <w:rFonts w:asciiTheme="minorHAnsi" w:hAnsiTheme="minorHAnsi"/>
        </w:rPr>
        <w:t xml:space="preserve">care work remains </w:t>
      </w:r>
      <w:r w:rsidR="008C2677" w:rsidRPr="00640968">
        <w:rPr>
          <w:rFonts w:asciiTheme="minorHAnsi" w:hAnsiTheme="minorHAnsi"/>
        </w:rPr>
        <w:t>outside the traditional market-based, commodifiable EU notion of work.</w:t>
      </w:r>
      <w:r w:rsidR="008C2677" w:rsidRPr="00640968">
        <w:rPr>
          <w:rFonts w:asciiTheme="minorHAnsi" w:hAnsiTheme="minorHAnsi"/>
          <w:vertAlign w:val="superscript"/>
        </w:rPr>
        <w:footnoteReference w:id="53"/>
      </w:r>
      <w:r w:rsidR="008C2677" w:rsidRPr="008C2677">
        <w:t xml:space="preserve"> </w:t>
      </w:r>
      <w:r w:rsidR="008C2677" w:rsidRPr="00835115">
        <w:rPr>
          <w:rFonts w:asciiTheme="minorHAnsi" w:hAnsiTheme="minorHAnsi"/>
        </w:rPr>
        <w:t xml:space="preserve"> </w:t>
      </w:r>
      <w:r w:rsidR="00EF7B7B" w:rsidRPr="00835115">
        <w:rPr>
          <w:rFonts w:asciiTheme="minorHAnsi" w:hAnsiTheme="minorHAnsi"/>
        </w:rPr>
        <w:t>Third</w:t>
      </w:r>
      <w:r w:rsidR="00835115">
        <w:rPr>
          <w:rFonts w:asciiTheme="minorHAnsi" w:hAnsiTheme="minorHAnsi"/>
        </w:rPr>
        <w:t>ly</w:t>
      </w:r>
      <w:r w:rsidR="00EF7B7B" w:rsidRPr="00835115">
        <w:rPr>
          <w:rFonts w:asciiTheme="minorHAnsi" w:hAnsiTheme="minorHAnsi"/>
        </w:rPr>
        <w:t xml:space="preserve">, </w:t>
      </w:r>
      <w:r w:rsidR="005334D7">
        <w:rPr>
          <w:rFonts w:asciiTheme="minorHAnsi" w:hAnsiTheme="minorHAnsi"/>
          <w:color w:val="auto"/>
        </w:rPr>
        <w:t xml:space="preserve">LTC provisions are the responsibility of Member States, where </w:t>
      </w:r>
      <w:r w:rsidR="00A85D7F" w:rsidRPr="00E4688F">
        <w:rPr>
          <w:rFonts w:asciiTheme="minorHAnsi" w:hAnsiTheme="minorHAnsi"/>
          <w:color w:val="auto"/>
        </w:rPr>
        <w:t xml:space="preserve">approaches and solutions provided </w:t>
      </w:r>
      <w:r w:rsidR="005D3FB5" w:rsidRPr="00E4688F">
        <w:rPr>
          <w:rFonts w:asciiTheme="minorHAnsi" w:hAnsiTheme="minorHAnsi"/>
          <w:color w:val="auto"/>
        </w:rPr>
        <w:t xml:space="preserve">for both cared for and their carers </w:t>
      </w:r>
      <w:r w:rsidR="00D71710" w:rsidRPr="00E4688F">
        <w:rPr>
          <w:rFonts w:asciiTheme="minorHAnsi" w:hAnsiTheme="minorHAnsi"/>
          <w:color w:val="auto"/>
        </w:rPr>
        <w:t>vary widely.  The different approaches reflect</w:t>
      </w:r>
      <w:r w:rsidR="0062660D" w:rsidRPr="00E4688F">
        <w:rPr>
          <w:rFonts w:asciiTheme="minorHAnsi" w:hAnsiTheme="minorHAnsi"/>
          <w:color w:val="auto"/>
        </w:rPr>
        <w:t xml:space="preserve">, among other things, differences in </w:t>
      </w:r>
      <w:r w:rsidR="008A54D3" w:rsidRPr="00E4688F">
        <w:rPr>
          <w:rFonts w:asciiTheme="minorHAnsi" w:hAnsiTheme="minorHAnsi"/>
          <w:color w:val="auto"/>
        </w:rPr>
        <w:t>working patterns</w:t>
      </w:r>
      <w:r w:rsidR="008A54D3">
        <w:rPr>
          <w:rFonts w:asciiTheme="minorHAnsi" w:hAnsiTheme="minorHAnsi"/>
          <w:color w:val="auto"/>
        </w:rPr>
        <w:t xml:space="preserve"> (in particular amongst women)</w:t>
      </w:r>
      <w:r w:rsidR="008A54D3" w:rsidRPr="00E4688F">
        <w:rPr>
          <w:rFonts w:asciiTheme="minorHAnsi" w:hAnsiTheme="minorHAnsi"/>
          <w:color w:val="auto"/>
        </w:rPr>
        <w:t xml:space="preserve"> </w:t>
      </w:r>
      <w:r w:rsidR="008A54D3">
        <w:rPr>
          <w:rFonts w:asciiTheme="minorHAnsi" w:hAnsiTheme="minorHAnsi"/>
          <w:color w:val="auto"/>
        </w:rPr>
        <w:t xml:space="preserve">and in </w:t>
      </w:r>
      <w:r w:rsidR="0062660D" w:rsidRPr="00E4688F">
        <w:rPr>
          <w:rFonts w:asciiTheme="minorHAnsi" w:hAnsiTheme="minorHAnsi"/>
          <w:color w:val="auto"/>
        </w:rPr>
        <w:t xml:space="preserve">societal </w:t>
      </w:r>
      <w:r w:rsidR="008A54D3">
        <w:rPr>
          <w:rFonts w:asciiTheme="minorHAnsi" w:hAnsiTheme="minorHAnsi"/>
          <w:color w:val="auto"/>
        </w:rPr>
        <w:t>attitudes to care</w:t>
      </w:r>
      <w:r>
        <w:rPr>
          <w:rFonts w:asciiTheme="minorHAnsi" w:hAnsiTheme="minorHAnsi"/>
          <w:color w:val="auto"/>
        </w:rPr>
        <w:t>, and different level of resources</w:t>
      </w:r>
      <w:r w:rsidR="005D3FB5" w:rsidRPr="00E4688F">
        <w:rPr>
          <w:rFonts w:asciiTheme="minorHAnsi" w:hAnsiTheme="minorHAnsi"/>
          <w:color w:val="auto"/>
        </w:rPr>
        <w:t>.</w:t>
      </w:r>
      <w:r w:rsidR="005D3FB5" w:rsidRPr="00E4688F">
        <w:rPr>
          <w:rStyle w:val="FootnoteReference"/>
          <w:rFonts w:asciiTheme="minorHAnsi" w:hAnsiTheme="minorHAnsi"/>
          <w:color w:val="auto"/>
        </w:rPr>
        <w:footnoteReference w:id="54"/>
      </w:r>
      <w:r w:rsidR="0062660D" w:rsidRPr="00E4688F">
        <w:rPr>
          <w:rFonts w:asciiTheme="minorHAnsi" w:hAnsiTheme="minorHAnsi"/>
          <w:color w:val="auto"/>
        </w:rPr>
        <w:t xml:space="preserve"> </w:t>
      </w:r>
      <w:r w:rsidR="005D3FB5" w:rsidRPr="00E4688F">
        <w:rPr>
          <w:rFonts w:asciiTheme="minorHAnsi" w:hAnsiTheme="minorHAnsi"/>
          <w:color w:val="auto"/>
        </w:rPr>
        <w:t xml:space="preserve"> </w:t>
      </w:r>
      <w:r w:rsidR="00D71710" w:rsidRPr="00E4688F">
        <w:rPr>
          <w:rFonts w:asciiTheme="minorHAnsi" w:hAnsiTheme="minorHAnsi"/>
          <w:color w:val="auto"/>
        </w:rPr>
        <w:t>In</w:t>
      </w:r>
      <w:r w:rsidR="001A7309" w:rsidRPr="00E4688F">
        <w:rPr>
          <w:rFonts w:asciiTheme="minorHAnsi" w:hAnsiTheme="minorHAnsi"/>
          <w:color w:val="auto"/>
        </w:rPr>
        <w:t xml:space="preserve"> a recent report prepared jointly by the Social Protection Committee and</w:t>
      </w:r>
      <w:r w:rsidR="005A6115" w:rsidRPr="00E4688F">
        <w:rPr>
          <w:rFonts w:asciiTheme="minorHAnsi" w:hAnsiTheme="minorHAnsi"/>
          <w:color w:val="auto"/>
        </w:rPr>
        <w:t xml:space="preserve"> the Commission</w:t>
      </w:r>
      <w:r w:rsidR="001A7309" w:rsidRPr="00E4688F">
        <w:rPr>
          <w:rFonts w:asciiTheme="minorHAnsi" w:hAnsiTheme="minorHAnsi"/>
          <w:color w:val="auto"/>
        </w:rPr>
        <w:t xml:space="preserve"> </w:t>
      </w:r>
      <w:r w:rsidR="008A54D3">
        <w:rPr>
          <w:rFonts w:asciiTheme="minorHAnsi" w:hAnsiTheme="minorHAnsi"/>
          <w:color w:val="auto"/>
        </w:rPr>
        <w:t>acknowledged</w:t>
      </w:r>
      <w:r>
        <w:rPr>
          <w:rFonts w:asciiTheme="minorHAnsi" w:hAnsiTheme="minorHAnsi"/>
          <w:color w:val="auto"/>
        </w:rPr>
        <w:t xml:space="preserve"> that “</w:t>
      </w:r>
      <w:r w:rsidR="005A6115" w:rsidRPr="00E4688F">
        <w:rPr>
          <w:rFonts w:asciiTheme="minorHAnsi" w:hAnsiTheme="minorHAnsi"/>
          <w:color w:val="auto"/>
        </w:rPr>
        <w:t>there are more pronounced differences between Member States in the way long-term care is provided than in any other aspect of social p</w:t>
      </w:r>
      <w:r w:rsidR="001014EB">
        <w:rPr>
          <w:rFonts w:asciiTheme="minorHAnsi" w:hAnsiTheme="minorHAnsi"/>
          <w:color w:val="auto"/>
        </w:rPr>
        <w:t>rotection</w:t>
      </w:r>
      <w:r>
        <w:rPr>
          <w:rFonts w:asciiTheme="minorHAnsi" w:hAnsiTheme="minorHAnsi"/>
          <w:color w:val="auto"/>
        </w:rPr>
        <w:t>.”</w:t>
      </w:r>
      <w:r w:rsidRPr="00E4688F">
        <w:rPr>
          <w:rStyle w:val="FootnoteReference"/>
          <w:rFonts w:asciiTheme="minorHAnsi" w:hAnsiTheme="minorHAnsi"/>
          <w:color w:val="auto"/>
        </w:rPr>
        <w:footnoteReference w:id="55"/>
      </w:r>
      <w:r w:rsidR="005A6115" w:rsidRPr="00E4688F">
        <w:rPr>
          <w:rFonts w:asciiTheme="minorHAnsi" w:hAnsiTheme="minorHAnsi"/>
          <w:color w:val="auto"/>
        </w:rPr>
        <w:t xml:space="preserve"> </w:t>
      </w:r>
      <w:r w:rsidR="00E4688F" w:rsidRPr="00E4688F">
        <w:rPr>
          <w:rFonts w:asciiTheme="minorHAnsi" w:hAnsiTheme="minorHAnsi"/>
          <w:color w:val="auto"/>
        </w:rPr>
        <w:t xml:space="preserve"> </w:t>
      </w:r>
      <w:r w:rsidR="001014EB">
        <w:rPr>
          <w:rFonts w:asciiTheme="minorHAnsi" w:hAnsiTheme="minorHAnsi"/>
        </w:rPr>
        <w:t xml:space="preserve">Perhaps the only common element </w:t>
      </w:r>
      <w:r w:rsidR="00FA6B45">
        <w:rPr>
          <w:rFonts w:asciiTheme="minorHAnsi" w:hAnsiTheme="minorHAnsi"/>
        </w:rPr>
        <w:t xml:space="preserve">that these different approaches share </w:t>
      </w:r>
      <w:r w:rsidR="001014EB">
        <w:rPr>
          <w:rFonts w:asciiTheme="minorHAnsi" w:hAnsiTheme="minorHAnsi"/>
        </w:rPr>
        <w:t xml:space="preserve">is that </w:t>
      </w:r>
      <w:r w:rsidR="001014EB">
        <w:rPr>
          <w:rFonts w:asciiTheme="minorHAnsi" w:hAnsiTheme="minorHAnsi"/>
          <w:color w:val="auto"/>
        </w:rPr>
        <w:t>“</w:t>
      </w:r>
      <w:r w:rsidR="005A6115" w:rsidRPr="00E4688F">
        <w:rPr>
          <w:rFonts w:asciiTheme="minorHAnsi" w:hAnsiTheme="minorHAnsi"/>
          <w:color w:val="auto"/>
        </w:rPr>
        <w:t>non-professional family care plays a major role</w:t>
      </w:r>
      <w:r w:rsidR="001014EB">
        <w:rPr>
          <w:rFonts w:asciiTheme="minorHAnsi" w:hAnsiTheme="minorHAnsi"/>
          <w:color w:val="auto"/>
        </w:rPr>
        <w:t>” although even in this case “</w:t>
      </w:r>
      <w:r w:rsidR="005A6115" w:rsidRPr="00E4688F">
        <w:rPr>
          <w:rFonts w:asciiTheme="minorHAnsi" w:hAnsiTheme="minorHAnsi"/>
          <w:color w:val="auto"/>
        </w:rPr>
        <w:t>the extent to which this is complemented by formal, publicly provided care varies widely</w:t>
      </w:r>
      <w:r w:rsidR="001014EB">
        <w:rPr>
          <w:rFonts w:asciiTheme="minorHAnsi" w:hAnsiTheme="minorHAnsi"/>
          <w:color w:val="auto"/>
        </w:rPr>
        <w:t>”</w:t>
      </w:r>
      <w:r w:rsidR="005A6115" w:rsidRPr="00E4688F">
        <w:rPr>
          <w:rFonts w:asciiTheme="minorHAnsi" w:hAnsiTheme="minorHAnsi"/>
          <w:color w:val="auto"/>
        </w:rPr>
        <w:t>.</w:t>
      </w:r>
      <w:r w:rsidR="00D71710" w:rsidRPr="00E4688F">
        <w:rPr>
          <w:rStyle w:val="FootnoteReference"/>
          <w:rFonts w:asciiTheme="minorHAnsi" w:hAnsiTheme="minorHAnsi"/>
          <w:color w:val="auto"/>
        </w:rPr>
        <w:footnoteReference w:id="56"/>
      </w:r>
      <w:r w:rsidR="005A6115" w:rsidRPr="00E4688F">
        <w:rPr>
          <w:rFonts w:asciiTheme="minorHAnsi" w:hAnsiTheme="minorHAnsi"/>
          <w:color w:val="auto"/>
        </w:rPr>
        <w:t xml:space="preserve"> </w:t>
      </w:r>
    </w:p>
    <w:p w14:paraId="4D6D6AE6" w14:textId="77777777" w:rsidR="001014EB" w:rsidRDefault="001014EB" w:rsidP="00A95ABC">
      <w:pPr>
        <w:pStyle w:val="Default"/>
        <w:spacing w:line="276" w:lineRule="auto"/>
        <w:jc w:val="both"/>
        <w:rPr>
          <w:rFonts w:asciiTheme="minorHAnsi" w:hAnsiTheme="minorHAnsi"/>
          <w:color w:val="auto"/>
        </w:rPr>
      </w:pPr>
    </w:p>
    <w:p w14:paraId="0C277CAA" w14:textId="77777777" w:rsidR="00FA6B45" w:rsidRDefault="00D71710" w:rsidP="00A95ABC">
      <w:pPr>
        <w:pStyle w:val="Default"/>
        <w:spacing w:line="276" w:lineRule="auto"/>
        <w:jc w:val="both"/>
        <w:rPr>
          <w:rFonts w:asciiTheme="minorHAnsi" w:hAnsiTheme="minorHAnsi"/>
        </w:rPr>
      </w:pPr>
      <w:r w:rsidRPr="00D71710">
        <w:rPr>
          <w:rFonts w:asciiTheme="minorHAnsi" w:hAnsiTheme="minorHAnsi"/>
          <w:color w:val="auto"/>
        </w:rPr>
        <w:lastRenderedPageBreak/>
        <w:t>In turn, this makes it difficult to establish a common model</w:t>
      </w:r>
      <w:r>
        <w:rPr>
          <w:rFonts w:asciiTheme="minorHAnsi" w:hAnsiTheme="minorHAnsi"/>
          <w:color w:val="auto"/>
        </w:rPr>
        <w:t xml:space="preserve">.  </w:t>
      </w:r>
      <w:r w:rsidR="00FA6B45">
        <w:rPr>
          <w:rFonts w:asciiTheme="minorHAnsi" w:hAnsiTheme="minorHAnsi"/>
        </w:rPr>
        <w:t>A</w:t>
      </w:r>
      <w:r w:rsidR="00FA6B45" w:rsidRPr="00A95ABC">
        <w:rPr>
          <w:rFonts w:asciiTheme="minorHAnsi" w:hAnsiTheme="minorHAnsi"/>
        </w:rPr>
        <w:t xml:space="preserve"> number of relevant policy documents acknowledge that this is an issue of public interest.</w:t>
      </w:r>
      <w:r w:rsidR="00FA6B45" w:rsidRPr="00A95ABC">
        <w:rPr>
          <w:rStyle w:val="FootnoteReference"/>
          <w:rFonts w:asciiTheme="minorHAnsi" w:hAnsiTheme="minorHAnsi"/>
        </w:rPr>
        <w:footnoteReference w:id="57"/>
      </w:r>
      <w:r w:rsidR="00FA6B45">
        <w:rPr>
          <w:rFonts w:asciiTheme="minorHAnsi" w:hAnsiTheme="minorHAnsi"/>
        </w:rPr>
        <w:t xml:space="preserve"> </w:t>
      </w:r>
      <w:r w:rsidR="00936B2E">
        <w:rPr>
          <w:rFonts w:asciiTheme="minorHAnsi" w:hAnsiTheme="minorHAnsi"/>
          <w:color w:val="auto"/>
        </w:rPr>
        <w:t xml:space="preserve"> </w:t>
      </w:r>
      <w:r w:rsidR="00A95ABC" w:rsidRPr="00A95ABC">
        <w:rPr>
          <w:rFonts w:asciiTheme="minorHAnsi" w:hAnsiTheme="minorHAnsi"/>
        </w:rPr>
        <w:t xml:space="preserve">However, </w:t>
      </w:r>
      <w:r w:rsidR="00FA6B45">
        <w:rPr>
          <w:rFonts w:asciiTheme="minorHAnsi" w:hAnsiTheme="minorHAnsi"/>
        </w:rPr>
        <w:t xml:space="preserve">these do not make up for a coherent policy framework and </w:t>
      </w:r>
      <w:r w:rsidR="00A95ABC" w:rsidRPr="00A95ABC">
        <w:rPr>
          <w:rFonts w:asciiTheme="minorHAnsi" w:hAnsiTheme="minorHAnsi"/>
        </w:rPr>
        <w:t>there is no specific legislation</w:t>
      </w:r>
      <w:r w:rsidR="00EF7B7B">
        <w:rPr>
          <w:rFonts w:asciiTheme="minorHAnsi" w:hAnsiTheme="minorHAnsi"/>
        </w:rPr>
        <w:t xml:space="preserve"> or even a </w:t>
      </w:r>
      <w:r w:rsidR="00FA6B45">
        <w:rPr>
          <w:rFonts w:asciiTheme="minorHAnsi" w:hAnsiTheme="minorHAnsi"/>
        </w:rPr>
        <w:t>“</w:t>
      </w:r>
      <w:r w:rsidR="00EF7B7B">
        <w:rPr>
          <w:rFonts w:asciiTheme="minorHAnsi" w:hAnsiTheme="minorHAnsi"/>
        </w:rPr>
        <w:t>strategy</w:t>
      </w:r>
      <w:r w:rsidR="00FA6B45">
        <w:rPr>
          <w:rFonts w:asciiTheme="minorHAnsi" w:hAnsiTheme="minorHAnsi"/>
        </w:rPr>
        <w:t>”</w:t>
      </w:r>
      <w:r w:rsidR="00EF7B7B">
        <w:rPr>
          <w:rFonts w:asciiTheme="minorHAnsi" w:hAnsiTheme="minorHAnsi"/>
        </w:rPr>
        <w:t xml:space="preserve"> to address elderly care</w:t>
      </w:r>
      <w:r w:rsidR="00FA6B45">
        <w:rPr>
          <w:rFonts w:asciiTheme="minorHAnsi" w:hAnsiTheme="minorHAnsi"/>
        </w:rPr>
        <w:t xml:space="preserve">.  </w:t>
      </w:r>
    </w:p>
    <w:p w14:paraId="2CE319C5" w14:textId="0DA0E12F" w:rsidR="00A95ABC" w:rsidRPr="00CC11B3" w:rsidRDefault="00A95ABC" w:rsidP="00A95ABC">
      <w:pPr>
        <w:pStyle w:val="Default"/>
        <w:spacing w:line="276" w:lineRule="auto"/>
        <w:jc w:val="both"/>
        <w:rPr>
          <w:rFonts w:asciiTheme="minorHAnsi" w:hAnsiTheme="minorHAnsi"/>
          <w:color w:val="auto"/>
        </w:rPr>
      </w:pPr>
      <w:r w:rsidRPr="00A95ABC">
        <w:rPr>
          <w:rFonts w:asciiTheme="minorHAnsi" w:hAnsiTheme="minorHAnsi"/>
        </w:rPr>
        <w:t xml:space="preserve">Thus the EU mainly acts as </w:t>
      </w:r>
      <w:r w:rsidR="00FA6B45" w:rsidRPr="00A95ABC">
        <w:rPr>
          <w:rFonts w:asciiTheme="minorHAnsi" w:hAnsiTheme="minorHAnsi"/>
        </w:rPr>
        <w:t>a facilitator</w:t>
      </w:r>
      <w:r w:rsidR="00FA6B45">
        <w:rPr>
          <w:rFonts w:asciiTheme="minorHAnsi" w:hAnsiTheme="minorHAnsi"/>
        </w:rPr>
        <w:t xml:space="preserve"> that provides “policy support” and “information sharing”</w:t>
      </w:r>
      <w:r w:rsidR="007928C3">
        <w:rPr>
          <w:rFonts w:asciiTheme="minorHAnsi" w:hAnsiTheme="minorHAnsi"/>
        </w:rPr>
        <w:t xml:space="preserve">.  </w:t>
      </w:r>
      <w:r w:rsidRPr="00A95ABC">
        <w:rPr>
          <w:rFonts w:asciiTheme="minorHAnsi" w:hAnsiTheme="minorHAnsi"/>
        </w:rPr>
        <w:t>It promotes cooperation between Member States in this field.  It does so mainly</w:t>
      </w:r>
      <w:r w:rsidRPr="00A95ABC">
        <w:rPr>
          <w:rFonts w:asciiTheme="minorHAnsi" w:hAnsiTheme="minorHAnsi"/>
          <w:lang w:val="en"/>
        </w:rPr>
        <w:t xml:space="preserve"> through the open method of coordination (OMG) in particular on closing the gap between the supply and demand for long-term care by exploring how to extend or restore older people's autonomy and capacity to live independently.</w:t>
      </w:r>
    </w:p>
    <w:p w14:paraId="6F863B0A" w14:textId="77777777" w:rsidR="00FA6B45" w:rsidRDefault="00FA6B45" w:rsidP="00676C5D">
      <w:pPr>
        <w:pStyle w:val="Default"/>
        <w:spacing w:line="276" w:lineRule="auto"/>
        <w:jc w:val="both"/>
        <w:rPr>
          <w:rFonts w:asciiTheme="minorHAnsi" w:hAnsiTheme="minorHAnsi"/>
          <w:color w:val="auto"/>
        </w:rPr>
      </w:pPr>
    </w:p>
    <w:p w14:paraId="2B25CF26" w14:textId="35C15781" w:rsidR="00676C5D" w:rsidRDefault="00FA6B45" w:rsidP="00676C5D">
      <w:pPr>
        <w:pStyle w:val="Default"/>
        <w:spacing w:line="276" w:lineRule="auto"/>
        <w:jc w:val="both"/>
        <w:rPr>
          <w:rFonts w:asciiTheme="minorHAnsi" w:hAnsiTheme="minorHAnsi"/>
          <w:color w:val="auto"/>
        </w:rPr>
      </w:pPr>
      <w:r>
        <w:rPr>
          <w:rFonts w:asciiTheme="minorHAnsi" w:hAnsiTheme="minorHAnsi"/>
          <w:color w:val="auto"/>
        </w:rPr>
        <w:t>By contrast, perhaps a</w:t>
      </w:r>
      <w:r w:rsidR="00835115">
        <w:rPr>
          <w:rFonts w:asciiTheme="minorHAnsi" w:hAnsiTheme="minorHAnsi"/>
          <w:color w:val="auto"/>
        </w:rPr>
        <w:t>s a consequence of the large involvement of informal carers</w:t>
      </w:r>
      <w:r>
        <w:rPr>
          <w:rFonts w:asciiTheme="minorHAnsi" w:hAnsiTheme="minorHAnsi"/>
          <w:color w:val="auto"/>
        </w:rPr>
        <w:t>,</w:t>
      </w:r>
      <w:r w:rsidR="00835115">
        <w:rPr>
          <w:rFonts w:asciiTheme="minorHAnsi" w:hAnsiTheme="minorHAnsi"/>
          <w:color w:val="auto"/>
        </w:rPr>
        <w:t xml:space="preserve"> a tentative (and often inadequate) legislation to protect carers has developed.  </w:t>
      </w:r>
      <w:r>
        <w:rPr>
          <w:rFonts w:asciiTheme="minorHAnsi" w:hAnsiTheme="minorHAnsi"/>
        </w:rPr>
        <w:t>These rights originally, targeted to carers of young children</w:t>
      </w:r>
      <w:r w:rsidR="007928C3" w:rsidRPr="00CC11B3">
        <w:rPr>
          <w:rFonts w:asciiTheme="minorHAnsi" w:hAnsiTheme="minorHAnsi"/>
        </w:rPr>
        <w:t xml:space="preserve"> </w:t>
      </w:r>
      <w:r w:rsidR="00CC11B3" w:rsidRPr="00CC11B3">
        <w:rPr>
          <w:rFonts w:asciiTheme="minorHAnsi" w:hAnsiTheme="minorHAnsi"/>
        </w:rPr>
        <w:t xml:space="preserve">as part of the </w:t>
      </w:r>
      <w:r w:rsidR="00CC11B3" w:rsidRPr="00676C5D">
        <w:rPr>
          <w:rFonts w:asciiTheme="minorHAnsi" w:hAnsiTheme="minorHAnsi"/>
          <w:color w:val="auto"/>
        </w:rPr>
        <w:t xml:space="preserve">work-life reconciliation </w:t>
      </w:r>
      <w:r>
        <w:rPr>
          <w:rFonts w:asciiTheme="minorHAnsi" w:hAnsiTheme="minorHAnsi"/>
          <w:color w:val="auto"/>
        </w:rPr>
        <w:t>discourse</w:t>
      </w:r>
      <w:r w:rsidR="00CC11B3" w:rsidRPr="00676C5D">
        <w:rPr>
          <w:rFonts w:asciiTheme="minorHAnsi" w:hAnsiTheme="minorHAnsi"/>
          <w:color w:val="auto"/>
        </w:rPr>
        <w:t>.</w:t>
      </w:r>
      <w:r w:rsidR="00CC11B3" w:rsidRPr="00676C5D">
        <w:rPr>
          <w:rStyle w:val="FootnoteReference"/>
          <w:rFonts w:asciiTheme="minorHAnsi" w:hAnsiTheme="minorHAnsi"/>
          <w:color w:val="auto"/>
        </w:rPr>
        <w:footnoteReference w:id="58"/>
      </w:r>
      <w:r w:rsidR="00CC11B3" w:rsidRPr="00676C5D">
        <w:rPr>
          <w:rFonts w:asciiTheme="minorHAnsi" w:hAnsiTheme="minorHAnsi"/>
          <w:color w:val="auto"/>
        </w:rPr>
        <w:t xml:space="preserve">  </w:t>
      </w:r>
      <w:r>
        <w:rPr>
          <w:rFonts w:asciiTheme="minorHAnsi" w:hAnsiTheme="minorHAnsi"/>
          <w:color w:val="auto"/>
        </w:rPr>
        <w:t>They are</w:t>
      </w:r>
      <w:r w:rsidR="00CC11B3" w:rsidRPr="00676C5D">
        <w:rPr>
          <w:rFonts w:asciiTheme="minorHAnsi" w:hAnsiTheme="minorHAnsi"/>
          <w:color w:val="auto"/>
        </w:rPr>
        <w:t xml:space="preserve"> articulated around leave and forms of flexible working, and protection from dismissal where these rights are asserted.  Where </w:t>
      </w:r>
      <w:r w:rsidR="00CC11B3" w:rsidRPr="00676C5D">
        <w:rPr>
          <w:color w:val="auto"/>
        </w:rPr>
        <w:t xml:space="preserve">- </w:t>
      </w:r>
      <w:r w:rsidR="00CC11B3" w:rsidRPr="00676C5D">
        <w:rPr>
          <w:rFonts w:asciiTheme="minorHAnsi" w:hAnsiTheme="minorHAnsi"/>
          <w:color w:val="auto"/>
        </w:rPr>
        <w:t xml:space="preserve">and if </w:t>
      </w:r>
      <w:r>
        <w:rPr>
          <w:color w:val="auto"/>
        </w:rPr>
        <w:t>–</w:t>
      </w:r>
      <w:r w:rsidR="00BF460D">
        <w:rPr>
          <w:color w:val="auto"/>
        </w:rPr>
        <w:t xml:space="preserve"> </w:t>
      </w:r>
      <w:r w:rsidRPr="00FA6B45">
        <w:rPr>
          <w:rFonts w:asciiTheme="minorHAnsi" w:hAnsiTheme="minorHAnsi"/>
          <w:color w:val="auto"/>
        </w:rPr>
        <w:t xml:space="preserve">specific </w:t>
      </w:r>
      <w:r w:rsidR="00CC11B3" w:rsidRPr="00676C5D">
        <w:rPr>
          <w:rFonts w:asciiTheme="minorHAnsi" w:hAnsiTheme="minorHAnsi"/>
          <w:color w:val="auto"/>
        </w:rPr>
        <w:t xml:space="preserve">rights </w:t>
      </w:r>
      <w:r>
        <w:rPr>
          <w:rFonts w:asciiTheme="minorHAnsi" w:hAnsiTheme="minorHAnsi"/>
          <w:color w:val="auto"/>
        </w:rPr>
        <w:t>for</w:t>
      </w:r>
      <w:r w:rsidR="00CC11B3" w:rsidRPr="00676C5D">
        <w:rPr>
          <w:rFonts w:asciiTheme="minorHAnsi" w:hAnsiTheme="minorHAnsi"/>
          <w:color w:val="auto"/>
        </w:rPr>
        <w:t xml:space="preserve"> carers of adults </w:t>
      </w:r>
      <w:r>
        <w:rPr>
          <w:rFonts w:asciiTheme="minorHAnsi" w:hAnsiTheme="minorHAnsi"/>
          <w:color w:val="auto"/>
        </w:rPr>
        <w:t xml:space="preserve">have been created, they </w:t>
      </w:r>
      <w:r w:rsidRPr="00676C5D">
        <w:rPr>
          <w:rFonts w:asciiTheme="minorHAnsi" w:hAnsiTheme="minorHAnsi"/>
          <w:color w:val="auto"/>
        </w:rPr>
        <w:t>also</w:t>
      </w:r>
      <w:r>
        <w:rPr>
          <w:rFonts w:asciiTheme="minorHAnsi" w:hAnsiTheme="minorHAnsi"/>
          <w:color w:val="auto"/>
        </w:rPr>
        <w:t xml:space="preserve"> tend</w:t>
      </w:r>
      <w:r w:rsidR="00CC11B3" w:rsidRPr="00676C5D">
        <w:rPr>
          <w:rFonts w:asciiTheme="minorHAnsi" w:hAnsiTheme="minorHAnsi"/>
          <w:color w:val="auto"/>
        </w:rPr>
        <w:t xml:space="preserve"> to take this form,</w:t>
      </w:r>
      <w:r w:rsidR="00CC11B3" w:rsidRPr="00676C5D">
        <w:rPr>
          <w:color w:val="auto"/>
        </w:rPr>
        <w:t xml:space="preserve"> </w:t>
      </w:r>
      <w:r w:rsidR="00CC11B3" w:rsidRPr="00783891">
        <w:rPr>
          <w:rFonts w:asciiTheme="minorHAnsi" w:hAnsiTheme="minorHAnsi"/>
          <w:color w:val="auto"/>
        </w:rPr>
        <w:t>mapping onto existing r</w:t>
      </w:r>
      <w:r w:rsidR="00676C5D" w:rsidRPr="00783891">
        <w:rPr>
          <w:rFonts w:asciiTheme="minorHAnsi" w:hAnsiTheme="minorHAnsi"/>
          <w:color w:val="auto"/>
        </w:rPr>
        <w:t>ights for parents.</w:t>
      </w:r>
      <w:r w:rsidR="00676C5D" w:rsidRPr="00783891">
        <w:rPr>
          <w:rStyle w:val="FootnoteReference"/>
          <w:rFonts w:asciiTheme="minorHAnsi" w:hAnsiTheme="minorHAnsi"/>
          <w:color w:val="auto"/>
        </w:rPr>
        <w:footnoteReference w:id="59"/>
      </w:r>
      <w:r w:rsidR="00676C5D" w:rsidRPr="00783891">
        <w:rPr>
          <w:rFonts w:asciiTheme="minorHAnsi" w:hAnsiTheme="minorHAnsi"/>
          <w:color w:val="auto"/>
        </w:rPr>
        <w:t xml:space="preserve"> </w:t>
      </w:r>
      <w:r w:rsidR="00CC11B3" w:rsidRPr="00676C5D">
        <w:rPr>
          <w:color w:val="auto"/>
        </w:rPr>
        <w:t xml:space="preserve"> </w:t>
      </w:r>
      <w:r w:rsidR="00676C5D" w:rsidRPr="00676C5D">
        <w:rPr>
          <w:rFonts w:asciiTheme="minorHAnsi" w:hAnsiTheme="minorHAnsi"/>
          <w:color w:val="auto"/>
        </w:rPr>
        <w:t>A go</w:t>
      </w:r>
      <w:r w:rsidR="00E56ADB">
        <w:rPr>
          <w:rFonts w:asciiTheme="minorHAnsi" w:hAnsiTheme="minorHAnsi"/>
          <w:color w:val="auto"/>
        </w:rPr>
        <w:t>o</w:t>
      </w:r>
      <w:r w:rsidR="00676C5D" w:rsidRPr="00676C5D">
        <w:rPr>
          <w:rFonts w:asciiTheme="minorHAnsi" w:hAnsiTheme="minorHAnsi"/>
          <w:color w:val="auto"/>
        </w:rPr>
        <w:t xml:space="preserve">d example is the right to emergency leave </w:t>
      </w:r>
      <w:r w:rsidR="00E56ADB">
        <w:rPr>
          <w:rFonts w:asciiTheme="minorHAnsi" w:hAnsiTheme="minorHAnsi"/>
          <w:color w:val="auto"/>
        </w:rPr>
        <w:t>available to</w:t>
      </w:r>
      <w:r w:rsidR="00E56ADB" w:rsidRPr="00676C5D">
        <w:rPr>
          <w:rFonts w:asciiTheme="minorHAnsi" w:hAnsiTheme="minorHAnsi"/>
          <w:color w:val="auto"/>
        </w:rPr>
        <w:t xml:space="preserve"> </w:t>
      </w:r>
      <w:r w:rsidR="00676C5D" w:rsidRPr="00676C5D">
        <w:rPr>
          <w:rFonts w:asciiTheme="minorHAnsi" w:hAnsiTheme="minorHAnsi"/>
          <w:color w:val="auto"/>
        </w:rPr>
        <w:t>workers “on grounds of force majeure for urgent family reasons in cases of sickness or accident making the immediate presence of the worker indispensable”.</w:t>
      </w:r>
      <w:r w:rsidR="00676C5D" w:rsidRPr="00676C5D">
        <w:rPr>
          <w:rStyle w:val="FootnoteReference"/>
          <w:rFonts w:asciiTheme="minorHAnsi" w:hAnsiTheme="minorHAnsi"/>
          <w:color w:val="auto"/>
        </w:rPr>
        <w:footnoteReference w:id="60"/>
      </w:r>
      <w:r w:rsidR="00676C5D" w:rsidRPr="00676C5D">
        <w:rPr>
          <w:rFonts w:asciiTheme="minorHAnsi" w:hAnsiTheme="minorHAnsi"/>
          <w:color w:val="auto"/>
        </w:rPr>
        <w:t xml:space="preserve">  However, while this may be of </w:t>
      </w:r>
      <w:r w:rsidR="00676C5D" w:rsidRPr="00676C5D">
        <w:rPr>
          <w:rFonts w:asciiTheme="minorHAnsi" w:hAnsiTheme="minorHAnsi"/>
          <w:color w:val="auto"/>
        </w:rPr>
        <w:lastRenderedPageBreak/>
        <w:t>valuable assistance in emergencies, it is clearly not a useful right in relation to meeting on-going care needs typical of LTC.</w:t>
      </w:r>
      <w:r w:rsidR="00676C5D" w:rsidRPr="00676C5D">
        <w:rPr>
          <w:rStyle w:val="FootnoteReference"/>
          <w:rFonts w:asciiTheme="minorHAnsi" w:hAnsiTheme="minorHAnsi"/>
          <w:color w:val="auto"/>
        </w:rPr>
        <w:footnoteReference w:id="61"/>
      </w:r>
      <w:r w:rsidR="00676C5D" w:rsidRPr="00676C5D">
        <w:rPr>
          <w:rFonts w:asciiTheme="minorHAnsi" w:hAnsiTheme="minorHAnsi"/>
          <w:color w:val="auto"/>
        </w:rPr>
        <w:t xml:space="preserve">  </w:t>
      </w:r>
    </w:p>
    <w:p w14:paraId="2021E1E2" w14:textId="0C212B60" w:rsidR="00676C5D" w:rsidRPr="00397F7D" w:rsidRDefault="00676C5D" w:rsidP="00676C5D">
      <w:pPr>
        <w:pStyle w:val="Default"/>
        <w:spacing w:line="276" w:lineRule="auto"/>
        <w:jc w:val="both"/>
        <w:rPr>
          <w:rFonts w:asciiTheme="minorHAnsi" w:hAnsiTheme="minorHAnsi"/>
          <w:color w:val="000000" w:themeColor="text1"/>
        </w:rPr>
      </w:pPr>
      <w:r w:rsidRPr="009D058A">
        <w:rPr>
          <w:rFonts w:asciiTheme="minorHAnsi" w:hAnsiTheme="minorHAnsi"/>
          <w:color w:val="auto"/>
        </w:rPr>
        <w:t>The rights available to carers have been complemented by a number of provisions prohibiting discrimination, such as the prohibition on indirect sex discrimination and the provisions on disability discrimination.  These provisions, however</w:t>
      </w:r>
      <w:r w:rsidR="009D058A" w:rsidRPr="009D058A">
        <w:rPr>
          <w:rFonts w:asciiTheme="minorHAnsi" w:hAnsiTheme="minorHAnsi"/>
          <w:color w:val="auto"/>
        </w:rPr>
        <w:t xml:space="preserve">, benefit </w:t>
      </w:r>
      <w:r w:rsidR="009D058A" w:rsidRPr="009D058A">
        <w:rPr>
          <w:rFonts w:asciiTheme="minorHAnsi" w:hAnsiTheme="minorHAnsi"/>
          <w:i/>
          <w:color w:val="auto"/>
        </w:rPr>
        <w:t xml:space="preserve">some </w:t>
      </w:r>
      <w:r w:rsidR="009D058A" w:rsidRPr="009D058A">
        <w:rPr>
          <w:rFonts w:asciiTheme="minorHAnsi" w:hAnsiTheme="minorHAnsi"/>
          <w:color w:val="auto"/>
        </w:rPr>
        <w:t>working carers (</w:t>
      </w:r>
      <w:r w:rsidRPr="009D058A">
        <w:rPr>
          <w:rFonts w:asciiTheme="minorHAnsi" w:hAnsiTheme="minorHAnsi"/>
          <w:color w:val="auto"/>
        </w:rPr>
        <w:t xml:space="preserve">female carers </w:t>
      </w:r>
      <w:r w:rsidR="009D058A" w:rsidRPr="009D058A">
        <w:rPr>
          <w:rFonts w:asciiTheme="minorHAnsi" w:hAnsiTheme="minorHAnsi"/>
          <w:color w:val="auto"/>
        </w:rPr>
        <w:t xml:space="preserve">and </w:t>
      </w:r>
      <w:r w:rsidRPr="009D058A">
        <w:rPr>
          <w:rFonts w:asciiTheme="minorHAnsi" w:hAnsiTheme="minorHAnsi"/>
          <w:color w:val="auto"/>
        </w:rPr>
        <w:t>those who care for someone with a disability and who are discriminated against for that reason</w:t>
      </w:r>
      <w:r w:rsidR="009D058A" w:rsidRPr="009D058A">
        <w:rPr>
          <w:rFonts w:asciiTheme="minorHAnsi" w:hAnsiTheme="minorHAnsi"/>
          <w:color w:val="auto"/>
        </w:rPr>
        <w:t>)</w:t>
      </w:r>
      <w:r w:rsidRPr="009D058A">
        <w:rPr>
          <w:rFonts w:asciiTheme="minorHAnsi" w:hAnsiTheme="minorHAnsi"/>
          <w:color w:val="auto"/>
        </w:rPr>
        <w:t>.</w:t>
      </w:r>
      <w:r w:rsidR="009D058A" w:rsidRPr="009D058A">
        <w:rPr>
          <w:rFonts w:asciiTheme="minorHAnsi" w:hAnsiTheme="minorHAnsi"/>
          <w:color w:val="auto"/>
        </w:rPr>
        <w:t xml:space="preserve">  </w:t>
      </w:r>
      <w:r w:rsidRPr="009D058A">
        <w:rPr>
          <w:rFonts w:asciiTheme="minorHAnsi" w:hAnsiTheme="minorHAnsi"/>
          <w:color w:val="auto"/>
        </w:rPr>
        <w:t xml:space="preserve">In addition, </w:t>
      </w:r>
      <w:r w:rsidR="009D058A" w:rsidRPr="009D058A">
        <w:rPr>
          <w:rFonts w:asciiTheme="minorHAnsi" w:hAnsiTheme="minorHAnsi"/>
          <w:color w:val="auto"/>
        </w:rPr>
        <w:t>some carers might benefit from</w:t>
      </w:r>
      <w:r w:rsidRPr="009D058A">
        <w:rPr>
          <w:rFonts w:asciiTheme="minorHAnsi" w:hAnsiTheme="minorHAnsi"/>
          <w:color w:val="auto"/>
        </w:rPr>
        <w:t xml:space="preserve"> two Directives</w:t>
      </w:r>
      <w:r w:rsidRPr="009D058A">
        <w:rPr>
          <w:rStyle w:val="FootnoteReference"/>
          <w:rFonts w:asciiTheme="minorHAnsi" w:hAnsiTheme="minorHAnsi"/>
          <w:color w:val="auto"/>
        </w:rPr>
        <w:footnoteReference w:id="62"/>
      </w:r>
      <w:r w:rsidRPr="009D058A">
        <w:rPr>
          <w:rFonts w:asciiTheme="minorHAnsi" w:hAnsiTheme="minorHAnsi"/>
          <w:color w:val="auto"/>
        </w:rPr>
        <w:t xml:space="preserve"> offering protection against discriminat</w:t>
      </w:r>
      <w:r w:rsidR="009D058A" w:rsidRPr="009D058A">
        <w:rPr>
          <w:rFonts w:asciiTheme="minorHAnsi" w:hAnsiTheme="minorHAnsi"/>
          <w:color w:val="auto"/>
        </w:rPr>
        <w:t xml:space="preserve">ion to those engaged in </w:t>
      </w:r>
      <w:r w:rsidR="00E56ADB" w:rsidRPr="009D058A">
        <w:rPr>
          <w:rFonts w:asciiTheme="minorHAnsi" w:hAnsiTheme="minorHAnsi"/>
          <w:color w:val="auto"/>
        </w:rPr>
        <w:t>part</w:t>
      </w:r>
      <w:r w:rsidR="00E56ADB">
        <w:rPr>
          <w:rFonts w:asciiTheme="minorHAnsi" w:hAnsiTheme="minorHAnsi"/>
          <w:color w:val="auto"/>
        </w:rPr>
        <w:t>-</w:t>
      </w:r>
      <w:r w:rsidRPr="009D058A">
        <w:rPr>
          <w:rFonts w:asciiTheme="minorHAnsi" w:hAnsiTheme="minorHAnsi"/>
          <w:color w:val="auto"/>
        </w:rPr>
        <w:t xml:space="preserve">time and </w:t>
      </w:r>
      <w:r w:rsidRPr="00397F7D">
        <w:rPr>
          <w:rFonts w:asciiTheme="minorHAnsi" w:hAnsiTheme="minorHAnsi"/>
          <w:color w:val="000000" w:themeColor="text1"/>
        </w:rPr>
        <w:t>agency</w:t>
      </w:r>
      <w:r w:rsidR="009D058A" w:rsidRPr="00397F7D">
        <w:rPr>
          <w:rFonts w:asciiTheme="minorHAnsi" w:hAnsiTheme="minorHAnsi"/>
          <w:color w:val="000000" w:themeColor="text1"/>
        </w:rPr>
        <w:t xml:space="preserve"> work.  These types of work are often used</w:t>
      </w:r>
      <w:r w:rsidRPr="00397F7D">
        <w:rPr>
          <w:rFonts w:asciiTheme="minorHAnsi" w:hAnsiTheme="minorHAnsi"/>
          <w:color w:val="000000" w:themeColor="text1"/>
        </w:rPr>
        <w:t xml:space="preserve"> to accommodate the demands of </w:t>
      </w:r>
      <w:r w:rsidR="00E56ADB" w:rsidRPr="00397F7D">
        <w:rPr>
          <w:rFonts w:asciiTheme="minorHAnsi" w:hAnsiTheme="minorHAnsi"/>
          <w:color w:val="000000" w:themeColor="text1"/>
        </w:rPr>
        <w:t xml:space="preserve">long term </w:t>
      </w:r>
      <w:r w:rsidRPr="00397F7D">
        <w:rPr>
          <w:rFonts w:asciiTheme="minorHAnsi" w:hAnsiTheme="minorHAnsi"/>
          <w:color w:val="000000" w:themeColor="text1"/>
        </w:rPr>
        <w:t>care</w:t>
      </w:r>
      <w:r w:rsidR="009D058A" w:rsidRPr="00397F7D">
        <w:rPr>
          <w:rFonts w:asciiTheme="minorHAnsi" w:hAnsiTheme="minorHAnsi"/>
          <w:color w:val="000000" w:themeColor="text1"/>
        </w:rPr>
        <w:t>.</w:t>
      </w:r>
      <w:r w:rsidRPr="00397F7D">
        <w:rPr>
          <w:rStyle w:val="FootnoteReference"/>
          <w:rFonts w:asciiTheme="minorHAnsi" w:hAnsiTheme="minorHAnsi"/>
          <w:color w:val="000000" w:themeColor="text1"/>
        </w:rPr>
        <w:footnoteReference w:id="63"/>
      </w:r>
      <w:r w:rsidRPr="00397F7D">
        <w:rPr>
          <w:rFonts w:asciiTheme="minorHAnsi" w:hAnsiTheme="minorHAnsi"/>
          <w:color w:val="000000" w:themeColor="text1"/>
        </w:rPr>
        <w:t xml:space="preserve"> </w:t>
      </w:r>
    </w:p>
    <w:p w14:paraId="74BF48BB" w14:textId="6D50C142" w:rsidR="00783891" w:rsidRPr="00397F7D" w:rsidRDefault="00783891" w:rsidP="00783891">
      <w:pPr>
        <w:spacing w:after="0"/>
        <w:jc w:val="both"/>
        <w:rPr>
          <w:rFonts w:cs="Times New Roman"/>
          <w:color w:val="000000" w:themeColor="text1"/>
          <w:sz w:val="24"/>
          <w:szCs w:val="24"/>
        </w:rPr>
      </w:pPr>
      <w:r w:rsidRPr="00397F7D">
        <w:rPr>
          <w:color w:val="000000" w:themeColor="text1"/>
          <w:sz w:val="24"/>
          <w:szCs w:val="24"/>
        </w:rPr>
        <w:t>Overall, rights</w:t>
      </w:r>
      <w:r w:rsidR="00BF460D">
        <w:rPr>
          <w:color w:val="000000" w:themeColor="text1"/>
          <w:sz w:val="24"/>
          <w:szCs w:val="24"/>
        </w:rPr>
        <w:t xml:space="preserve"> for carers</w:t>
      </w:r>
      <w:r w:rsidRPr="00397F7D">
        <w:rPr>
          <w:color w:val="000000" w:themeColor="text1"/>
          <w:sz w:val="24"/>
          <w:szCs w:val="24"/>
        </w:rPr>
        <w:t xml:space="preserve"> are</w:t>
      </w:r>
      <w:r w:rsidR="00BF460D">
        <w:rPr>
          <w:color w:val="000000" w:themeColor="text1"/>
          <w:sz w:val="24"/>
          <w:szCs w:val="24"/>
        </w:rPr>
        <w:t xml:space="preserve"> framed as</w:t>
      </w:r>
      <w:r w:rsidRPr="00397F7D">
        <w:rPr>
          <w:color w:val="000000" w:themeColor="text1"/>
          <w:sz w:val="24"/>
          <w:szCs w:val="24"/>
        </w:rPr>
        <w:t xml:space="preserve"> “</w:t>
      </w:r>
      <w:r w:rsidRPr="00397F7D">
        <w:rPr>
          <w:rFonts w:cs="Times New Roman"/>
          <w:color w:val="000000" w:themeColor="text1"/>
          <w:sz w:val="24"/>
          <w:szCs w:val="24"/>
        </w:rPr>
        <w:t xml:space="preserve">workplace rights” and can only be a small part of the response to the challenges posed by the increasing demand for care for both children and adults.  A policy and legislative response should be aware of the conceptual, political and practical difficulties. </w:t>
      </w:r>
    </w:p>
    <w:p w14:paraId="14CC2BC5" w14:textId="3E030821" w:rsidR="00783891" w:rsidRPr="009D058A" w:rsidRDefault="00783891" w:rsidP="00676C5D">
      <w:pPr>
        <w:pStyle w:val="Default"/>
        <w:spacing w:line="276" w:lineRule="auto"/>
        <w:jc w:val="both"/>
        <w:rPr>
          <w:rFonts w:asciiTheme="minorHAnsi" w:hAnsiTheme="minorHAnsi"/>
          <w:color w:val="auto"/>
        </w:rPr>
      </w:pPr>
    </w:p>
    <w:p w14:paraId="6AAAFB35" w14:textId="77777777" w:rsidR="00D00A16" w:rsidRDefault="00D00A16" w:rsidP="00A95ABC">
      <w:pPr>
        <w:autoSpaceDE w:val="0"/>
        <w:autoSpaceDN w:val="0"/>
        <w:adjustRightInd w:val="0"/>
        <w:spacing w:after="0"/>
        <w:jc w:val="both"/>
        <w:rPr>
          <w:rFonts w:ascii="Times New Roman" w:hAnsi="Times New Roman" w:cs="Times New Roman"/>
          <w:b/>
          <w:sz w:val="24"/>
          <w:szCs w:val="24"/>
        </w:rPr>
      </w:pPr>
    </w:p>
    <w:p w14:paraId="35E593F1" w14:textId="77777777" w:rsidR="0083439B" w:rsidRDefault="0083439B" w:rsidP="00A95ABC">
      <w:pPr>
        <w:spacing w:after="0"/>
        <w:jc w:val="both"/>
        <w:rPr>
          <w:rFonts w:cs="Times New Roman"/>
          <w:b/>
          <w:sz w:val="24"/>
          <w:szCs w:val="24"/>
        </w:rPr>
      </w:pPr>
      <w:r w:rsidRPr="009F4797">
        <w:rPr>
          <w:rFonts w:cs="Times New Roman"/>
          <w:b/>
          <w:sz w:val="24"/>
          <w:szCs w:val="24"/>
        </w:rPr>
        <w:t>Conclusion</w:t>
      </w:r>
    </w:p>
    <w:p w14:paraId="20FA621E" w14:textId="7BE18D74" w:rsidR="008C4BBA" w:rsidRDefault="00247D77" w:rsidP="00A95ABC">
      <w:pPr>
        <w:spacing w:after="0"/>
        <w:jc w:val="both"/>
        <w:rPr>
          <w:rFonts w:cs="Times New Roman"/>
          <w:sz w:val="24"/>
          <w:szCs w:val="24"/>
        </w:rPr>
      </w:pPr>
      <w:r>
        <w:rPr>
          <w:rFonts w:cs="Times New Roman"/>
          <w:sz w:val="24"/>
          <w:szCs w:val="24"/>
        </w:rPr>
        <w:t>An</w:t>
      </w:r>
      <w:r w:rsidR="009F4797">
        <w:rPr>
          <w:rFonts w:cs="Times New Roman"/>
          <w:sz w:val="24"/>
          <w:szCs w:val="24"/>
        </w:rPr>
        <w:t xml:space="preserve"> ageing society is a key challenge for domestic governments across Europe. </w:t>
      </w:r>
      <w:r w:rsidR="003A1C1E">
        <w:rPr>
          <w:rFonts w:cs="Times New Roman"/>
          <w:sz w:val="24"/>
          <w:szCs w:val="24"/>
        </w:rPr>
        <w:t xml:space="preserve"> </w:t>
      </w:r>
      <w:r w:rsidR="00A85D7F" w:rsidRPr="00A85D7F">
        <w:rPr>
          <w:rFonts w:cs="Times New Roman"/>
          <w:sz w:val="24"/>
          <w:szCs w:val="24"/>
        </w:rPr>
        <w:t xml:space="preserve">This </w:t>
      </w:r>
      <w:r w:rsidR="00184020">
        <w:rPr>
          <w:rFonts w:cs="Times New Roman"/>
          <w:sz w:val="24"/>
          <w:szCs w:val="24"/>
        </w:rPr>
        <w:t>pa</w:t>
      </w:r>
      <w:r w:rsidR="00BA1C94">
        <w:rPr>
          <w:rFonts w:cs="Times New Roman"/>
          <w:sz w:val="24"/>
          <w:szCs w:val="24"/>
        </w:rPr>
        <w:t>p</w:t>
      </w:r>
      <w:r w:rsidR="00184020">
        <w:rPr>
          <w:rFonts w:cs="Times New Roman"/>
          <w:sz w:val="24"/>
          <w:szCs w:val="24"/>
        </w:rPr>
        <w:t>er</w:t>
      </w:r>
      <w:r w:rsidR="00A85D7F" w:rsidRPr="00A85D7F">
        <w:rPr>
          <w:rFonts w:cs="Times New Roman"/>
          <w:sz w:val="24"/>
          <w:szCs w:val="24"/>
        </w:rPr>
        <w:t xml:space="preserve"> has explored </w:t>
      </w:r>
      <w:r w:rsidR="003A1C1E">
        <w:rPr>
          <w:rFonts w:cs="Times New Roman"/>
          <w:sz w:val="24"/>
          <w:szCs w:val="24"/>
        </w:rPr>
        <w:t xml:space="preserve">to what extent </w:t>
      </w:r>
      <w:r w:rsidR="00AB1C1B">
        <w:rPr>
          <w:rFonts w:cs="Times New Roman"/>
          <w:sz w:val="24"/>
          <w:szCs w:val="24"/>
        </w:rPr>
        <w:t xml:space="preserve">the EU legislator and policy making </w:t>
      </w:r>
      <w:r w:rsidR="003A1C1E">
        <w:rPr>
          <w:rFonts w:cs="Times New Roman"/>
          <w:sz w:val="24"/>
          <w:szCs w:val="24"/>
        </w:rPr>
        <w:t xml:space="preserve">are </w:t>
      </w:r>
      <w:r w:rsidR="00AB1C1B">
        <w:rPr>
          <w:rFonts w:cs="Times New Roman"/>
          <w:sz w:val="24"/>
          <w:szCs w:val="24"/>
        </w:rPr>
        <w:t xml:space="preserve">engaging with it. </w:t>
      </w:r>
      <w:r w:rsidR="00A85D7F" w:rsidRPr="00A85D7F">
        <w:rPr>
          <w:rFonts w:cs="Times New Roman"/>
          <w:sz w:val="24"/>
          <w:szCs w:val="24"/>
        </w:rPr>
        <w:t xml:space="preserve"> </w:t>
      </w:r>
      <w:r w:rsidR="008C4BBA">
        <w:rPr>
          <w:rFonts w:cs="Times New Roman"/>
          <w:sz w:val="24"/>
          <w:szCs w:val="24"/>
        </w:rPr>
        <w:t>T</w:t>
      </w:r>
      <w:r w:rsidR="00A85D7F" w:rsidRPr="00A85D7F">
        <w:rPr>
          <w:rFonts w:cs="Times New Roman"/>
          <w:sz w:val="24"/>
          <w:szCs w:val="24"/>
        </w:rPr>
        <w:t xml:space="preserve">he EU </w:t>
      </w:r>
      <w:r w:rsidR="009F4797">
        <w:rPr>
          <w:rFonts w:cs="Times New Roman"/>
          <w:sz w:val="24"/>
          <w:szCs w:val="24"/>
        </w:rPr>
        <w:t xml:space="preserve">is not directly responsible for the development of this area because it does not have any specific competences.  </w:t>
      </w:r>
      <w:r w:rsidR="00BF460D">
        <w:rPr>
          <w:rFonts w:cs="Times New Roman"/>
          <w:sz w:val="24"/>
          <w:szCs w:val="24"/>
        </w:rPr>
        <w:t>Yet, t</w:t>
      </w:r>
      <w:r w:rsidR="008C4BBA">
        <w:rPr>
          <w:rFonts w:cs="Times New Roman"/>
          <w:sz w:val="24"/>
          <w:szCs w:val="24"/>
        </w:rPr>
        <w:t xml:space="preserve">he existence of EU competence is not </w:t>
      </w:r>
      <w:r w:rsidR="00BF460D">
        <w:rPr>
          <w:rFonts w:cs="Times New Roman"/>
          <w:sz w:val="24"/>
          <w:szCs w:val="24"/>
        </w:rPr>
        <w:t xml:space="preserve">necessarily </w:t>
      </w:r>
      <w:r w:rsidR="008C4BBA">
        <w:rPr>
          <w:rFonts w:cs="Times New Roman"/>
          <w:sz w:val="24"/>
          <w:szCs w:val="24"/>
        </w:rPr>
        <w:t>preclusive to EU action. Indeed the EU has, without competence developed a set of policy provisions and a tentative strategy is emerging in relation to the carers of young children.</w:t>
      </w:r>
      <w:r w:rsidR="008C4BBA">
        <w:rPr>
          <w:rStyle w:val="FootnoteReference"/>
          <w:rFonts w:cs="Times New Roman"/>
          <w:sz w:val="24"/>
          <w:szCs w:val="24"/>
        </w:rPr>
        <w:t xml:space="preserve"> </w:t>
      </w:r>
      <w:r w:rsidR="008C4BBA">
        <w:rPr>
          <w:rStyle w:val="FootnoteReference"/>
          <w:rFonts w:cs="Times New Roman"/>
          <w:sz w:val="24"/>
          <w:szCs w:val="24"/>
        </w:rPr>
        <w:footnoteReference w:id="64"/>
      </w:r>
      <w:r w:rsidR="008C4BBA">
        <w:rPr>
          <w:rFonts w:cs="Times New Roman"/>
          <w:sz w:val="24"/>
          <w:szCs w:val="24"/>
        </w:rPr>
        <w:t xml:space="preserve">  </w:t>
      </w:r>
      <w:r w:rsidR="007109E6">
        <w:rPr>
          <w:rFonts w:cs="Times New Roman"/>
          <w:sz w:val="24"/>
          <w:szCs w:val="24"/>
        </w:rPr>
        <w:t>Th</w:t>
      </w:r>
      <w:r w:rsidR="008C4BBA">
        <w:rPr>
          <w:rFonts w:cs="Times New Roman"/>
          <w:sz w:val="24"/>
          <w:szCs w:val="24"/>
        </w:rPr>
        <w:t>e</w:t>
      </w:r>
      <w:r w:rsidR="007109E6">
        <w:rPr>
          <w:rFonts w:cs="Times New Roman"/>
          <w:sz w:val="24"/>
          <w:szCs w:val="24"/>
        </w:rPr>
        <w:t xml:space="preserve"> contrast</w:t>
      </w:r>
      <w:r w:rsidR="008C4BBA">
        <w:rPr>
          <w:rFonts w:cs="Times New Roman"/>
          <w:sz w:val="24"/>
          <w:szCs w:val="24"/>
        </w:rPr>
        <w:t xml:space="preserve"> between the development of childcare and</w:t>
      </w:r>
      <w:r w:rsidR="008E4A9F">
        <w:rPr>
          <w:rFonts w:cs="Times New Roman"/>
          <w:sz w:val="24"/>
          <w:szCs w:val="24"/>
        </w:rPr>
        <w:t xml:space="preserve"> elder care is striking. While c</w:t>
      </w:r>
      <w:r w:rsidR="008C4BBA">
        <w:rPr>
          <w:rFonts w:cs="Times New Roman"/>
          <w:sz w:val="24"/>
          <w:szCs w:val="24"/>
        </w:rPr>
        <w:t xml:space="preserve">hildcare policy is being developed by the EU on the basis of investment into the future, elder care has hardly been addressed </w:t>
      </w:r>
      <w:r w:rsidR="00C2012B">
        <w:rPr>
          <w:rFonts w:cs="Times New Roman"/>
          <w:sz w:val="24"/>
          <w:szCs w:val="24"/>
        </w:rPr>
        <w:t xml:space="preserve">by the EU </w:t>
      </w:r>
      <w:r w:rsidR="008C4BBA">
        <w:rPr>
          <w:rFonts w:cs="Times New Roman"/>
          <w:sz w:val="24"/>
          <w:szCs w:val="24"/>
        </w:rPr>
        <w:t xml:space="preserve">and Member States’ </w:t>
      </w:r>
      <w:r w:rsidR="007109E6">
        <w:rPr>
          <w:rFonts w:cs="Times New Roman"/>
          <w:sz w:val="24"/>
          <w:szCs w:val="24"/>
        </w:rPr>
        <w:t xml:space="preserve">policy and </w:t>
      </w:r>
      <w:r w:rsidR="00BF460D">
        <w:rPr>
          <w:rFonts w:cs="Times New Roman"/>
          <w:sz w:val="24"/>
          <w:szCs w:val="24"/>
        </w:rPr>
        <w:t>any relevant initiative was</w:t>
      </w:r>
      <w:r w:rsidR="007109E6">
        <w:rPr>
          <w:rFonts w:cs="Times New Roman"/>
          <w:sz w:val="24"/>
          <w:szCs w:val="24"/>
        </w:rPr>
        <w:t xml:space="preserve"> developed in a reactive fashion. </w:t>
      </w:r>
    </w:p>
    <w:p w14:paraId="5F043F03" w14:textId="77777777" w:rsidR="008C4BBA" w:rsidRDefault="008C4BBA" w:rsidP="00A95ABC">
      <w:pPr>
        <w:spacing w:after="0"/>
        <w:jc w:val="both"/>
        <w:rPr>
          <w:rFonts w:cs="Times New Roman"/>
          <w:sz w:val="24"/>
          <w:szCs w:val="24"/>
        </w:rPr>
      </w:pPr>
    </w:p>
    <w:p w14:paraId="372C0E51" w14:textId="504CD6A5" w:rsidR="00666284" w:rsidRDefault="00BF460D" w:rsidP="00666284">
      <w:pPr>
        <w:spacing w:after="0"/>
        <w:jc w:val="both"/>
        <w:rPr>
          <w:rFonts w:cs="Times New Roman"/>
          <w:sz w:val="24"/>
          <w:szCs w:val="24"/>
        </w:rPr>
      </w:pPr>
      <w:r>
        <w:rPr>
          <w:rFonts w:cs="Times New Roman"/>
          <w:sz w:val="24"/>
          <w:szCs w:val="24"/>
        </w:rPr>
        <w:t>As discussed above, t</w:t>
      </w:r>
      <w:r w:rsidR="007109E6">
        <w:rPr>
          <w:rFonts w:cs="Times New Roman"/>
          <w:sz w:val="24"/>
          <w:szCs w:val="24"/>
        </w:rPr>
        <w:t xml:space="preserve">he EU </w:t>
      </w:r>
      <w:r w:rsidR="009F4797">
        <w:rPr>
          <w:rFonts w:cs="Times New Roman"/>
          <w:sz w:val="24"/>
          <w:szCs w:val="24"/>
        </w:rPr>
        <w:t xml:space="preserve">role is </w:t>
      </w:r>
      <w:r w:rsidR="008E4A9F">
        <w:rPr>
          <w:rFonts w:cs="Times New Roman"/>
          <w:sz w:val="24"/>
          <w:szCs w:val="24"/>
        </w:rPr>
        <w:t>limited</w:t>
      </w:r>
      <w:r w:rsidR="009F4797">
        <w:rPr>
          <w:rFonts w:cs="Times New Roman"/>
          <w:sz w:val="24"/>
          <w:szCs w:val="24"/>
        </w:rPr>
        <w:t xml:space="preserve"> </w:t>
      </w:r>
      <w:r w:rsidR="00D50E6A">
        <w:rPr>
          <w:rFonts w:cs="Times New Roman"/>
          <w:sz w:val="24"/>
          <w:szCs w:val="24"/>
        </w:rPr>
        <w:t>to promot</w:t>
      </w:r>
      <w:r w:rsidR="008E4A9F">
        <w:rPr>
          <w:rFonts w:cs="Times New Roman"/>
          <w:sz w:val="24"/>
          <w:szCs w:val="24"/>
        </w:rPr>
        <w:t>ing</w:t>
      </w:r>
      <w:r w:rsidR="00D50E6A">
        <w:rPr>
          <w:rFonts w:cs="Times New Roman"/>
          <w:sz w:val="24"/>
          <w:szCs w:val="24"/>
        </w:rPr>
        <w:t xml:space="preserve"> and </w:t>
      </w:r>
      <w:r w:rsidR="009F4797">
        <w:rPr>
          <w:rFonts w:cs="Times New Roman"/>
          <w:sz w:val="24"/>
          <w:szCs w:val="24"/>
        </w:rPr>
        <w:t>facilitat</w:t>
      </w:r>
      <w:r w:rsidR="008E4A9F">
        <w:rPr>
          <w:rFonts w:cs="Times New Roman"/>
          <w:sz w:val="24"/>
          <w:szCs w:val="24"/>
        </w:rPr>
        <w:t>ing</w:t>
      </w:r>
      <w:r w:rsidR="00D50E6A">
        <w:rPr>
          <w:rFonts w:cs="Times New Roman"/>
          <w:sz w:val="24"/>
          <w:szCs w:val="24"/>
        </w:rPr>
        <w:t xml:space="preserve"> exchange of good practices between the Member </w:t>
      </w:r>
      <w:r w:rsidR="00D50E6A" w:rsidRPr="00090D8C">
        <w:rPr>
          <w:rFonts w:cs="Times New Roman"/>
          <w:sz w:val="24"/>
          <w:szCs w:val="24"/>
        </w:rPr>
        <w:t>States</w:t>
      </w:r>
      <w:r w:rsidR="009F4797" w:rsidRPr="00090D8C">
        <w:rPr>
          <w:rFonts w:cs="Times New Roman"/>
          <w:sz w:val="24"/>
          <w:szCs w:val="24"/>
        </w:rPr>
        <w:t xml:space="preserve"> and this is done mainly through the framework of the Open Method of Coordination.  </w:t>
      </w:r>
    </w:p>
    <w:p w14:paraId="6CDE15BE" w14:textId="77777777" w:rsidR="00BF460D" w:rsidRDefault="00090D8C" w:rsidP="00666284">
      <w:pPr>
        <w:spacing w:after="0"/>
        <w:jc w:val="both"/>
        <w:rPr>
          <w:rFonts w:eastAsia="Times New Roman" w:cs="Arial"/>
          <w:bCs/>
          <w:kern w:val="32"/>
          <w:sz w:val="24"/>
          <w:szCs w:val="24"/>
          <w:lang w:eastAsia="en-GB"/>
        </w:rPr>
      </w:pPr>
      <w:r>
        <w:rPr>
          <w:rFonts w:cs="Times New Roman"/>
          <w:sz w:val="24"/>
          <w:szCs w:val="24"/>
        </w:rPr>
        <w:lastRenderedPageBreak/>
        <w:t>This</w:t>
      </w:r>
      <w:r w:rsidR="009F4797" w:rsidRPr="00090D8C">
        <w:rPr>
          <w:rFonts w:cs="Times New Roman"/>
          <w:sz w:val="24"/>
          <w:szCs w:val="24"/>
        </w:rPr>
        <w:t xml:space="preserve"> paper </w:t>
      </w:r>
      <w:r w:rsidR="00D50E6A" w:rsidRPr="00090D8C">
        <w:rPr>
          <w:rFonts w:cs="Times New Roman"/>
          <w:sz w:val="24"/>
          <w:szCs w:val="24"/>
        </w:rPr>
        <w:t>argues</w:t>
      </w:r>
      <w:r w:rsidR="009F4797" w:rsidRPr="00090D8C">
        <w:rPr>
          <w:rFonts w:cs="Times New Roman"/>
          <w:sz w:val="24"/>
          <w:szCs w:val="24"/>
        </w:rPr>
        <w:t xml:space="preserve"> that the EU </w:t>
      </w:r>
      <w:r w:rsidR="00A85D7F" w:rsidRPr="00090D8C">
        <w:rPr>
          <w:rFonts w:cs="Times New Roman"/>
          <w:sz w:val="24"/>
          <w:szCs w:val="24"/>
        </w:rPr>
        <w:t xml:space="preserve">should </w:t>
      </w:r>
      <w:r w:rsidR="00D50E6A" w:rsidRPr="00090D8C">
        <w:rPr>
          <w:rFonts w:cs="Times New Roman"/>
          <w:sz w:val="24"/>
          <w:szCs w:val="24"/>
        </w:rPr>
        <w:t xml:space="preserve">go further and </w:t>
      </w:r>
      <w:r w:rsidR="00A85D7F" w:rsidRPr="00090D8C">
        <w:rPr>
          <w:rFonts w:cs="Times New Roman"/>
          <w:sz w:val="24"/>
          <w:szCs w:val="24"/>
        </w:rPr>
        <w:t>take a</w:t>
      </w:r>
      <w:r w:rsidR="00BF460D">
        <w:rPr>
          <w:rFonts w:cs="Times New Roman"/>
          <w:sz w:val="24"/>
          <w:szCs w:val="24"/>
        </w:rPr>
        <w:t xml:space="preserve"> proactive and</w:t>
      </w:r>
      <w:r w:rsidR="00A85D7F" w:rsidRPr="00090D8C">
        <w:rPr>
          <w:rFonts w:cs="Times New Roman"/>
          <w:sz w:val="24"/>
          <w:szCs w:val="24"/>
        </w:rPr>
        <w:t xml:space="preserve"> leading role</w:t>
      </w:r>
      <w:r w:rsidR="009F4797" w:rsidRPr="00090D8C">
        <w:rPr>
          <w:rFonts w:cs="Times New Roman"/>
          <w:sz w:val="24"/>
          <w:szCs w:val="24"/>
        </w:rPr>
        <w:t xml:space="preserve"> in </w:t>
      </w:r>
      <w:r w:rsidR="009F4797" w:rsidRPr="00BF460D">
        <w:rPr>
          <w:rFonts w:cs="Times New Roman"/>
          <w:i/>
          <w:sz w:val="24"/>
          <w:szCs w:val="24"/>
        </w:rPr>
        <w:t>framing</w:t>
      </w:r>
      <w:r w:rsidR="009F4797" w:rsidRPr="00090D8C">
        <w:rPr>
          <w:rFonts w:cs="Times New Roman"/>
          <w:sz w:val="24"/>
          <w:szCs w:val="24"/>
        </w:rPr>
        <w:t xml:space="preserve"> the principles and the conditions under which LTC is organised</w:t>
      </w:r>
      <w:r w:rsidRPr="00090D8C">
        <w:rPr>
          <w:rFonts w:cs="Times New Roman"/>
          <w:sz w:val="24"/>
          <w:szCs w:val="24"/>
        </w:rPr>
        <w:t>:</w:t>
      </w:r>
      <w:r w:rsidR="0045489C" w:rsidRPr="00090D8C">
        <w:rPr>
          <w:rFonts w:cs="Times New Roman"/>
          <w:sz w:val="24"/>
          <w:szCs w:val="24"/>
        </w:rPr>
        <w:t xml:space="preserve"> </w:t>
      </w:r>
      <w:r w:rsidRPr="00090D8C">
        <w:rPr>
          <w:rFonts w:eastAsia="Times New Roman" w:cs="Arial"/>
          <w:bCs/>
          <w:kern w:val="32"/>
          <w:sz w:val="24"/>
          <w:szCs w:val="24"/>
          <w:lang w:eastAsia="en-GB"/>
        </w:rPr>
        <w:t xml:space="preserve">policy and legislation need to be reconceptualised to include the needs of </w:t>
      </w:r>
      <w:r w:rsidRPr="00090D8C">
        <w:rPr>
          <w:rFonts w:cs="Times New Roman"/>
          <w:sz w:val="24"/>
          <w:szCs w:val="24"/>
        </w:rPr>
        <w:t>recipients of care (</w:t>
      </w:r>
      <w:r w:rsidRPr="00090D8C">
        <w:rPr>
          <w:rFonts w:eastAsia="Times New Roman" w:cs="Arial"/>
          <w:bCs/>
          <w:kern w:val="32"/>
          <w:sz w:val="24"/>
          <w:szCs w:val="24"/>
          <w:lang w:eastAsia="en-GB"/>
        </w:rPr>
        <w:t xml:space="preserve">older and frailer people) as well as those who provide care.  </w:t>
      </w:r>
    </w:p>
    <w:p w14:paraId="0343B8BE" w14:textId="70B841F0" w:rsidR="00666284" w:rsidRPr="00666284" w:rsidRDefault="008C4BBA" w:rsidP="00666284">
      <w:pPr>
        <w:spacing w:after="0"/>
        <w:jc w:val="both"/>
        <w:rPr>
          <w:rFonts w:eastAsia="Times New Roman" w:cs="Arial"/>
          <w:bCs/>
          <w:kern w:val="32"/>
          <w:sz w:val="24"/>
          <w:szCs w:val="24"/>
          <w:lang w:eastAsia="en-GB"/>
        </w:rPr>
      </w:pPr>
      <w:r>
        <w:rPr>
          <w:rFonts w:eastAsia="Times New Roman" w:cs="Arial"/>
          <w:bCs/>
          <w:kern w:val="32"/>
          <w:sz w:val="24"/>
          <w:szCs w:val="24"/>
          <w:lang w:eastAsia="en-GB"/>
        </w:rPr>
        <w:t>The</w:t>
      </w:r>
      <w:r w:rsidR="008E4A9F">
        <w:rPr>
          <w:rFonts w:eastAsia="Times New Roman" w:cs="Arial"/>
          <w:bCs/>
          <w:kern w:val="32"/>
          <w:sz w:val="24"/>
          <w:szCs w:val="24"/>
          <w:lang w:eastAsia="en-GB"/>
        </w:rPr>
        <w:t xml:space="preserve"> EU</w:t>
      </w:r>
      <w:r w:rsidR="00247D77">
        <w:rPr>
          <w:rFonts w:eastAsia="Times New Roman" w:cs="Arial"/>
          <w:bCs/>
          <w:kern w:val="32"/>
          <w:sz w:val="24"/>
          <w:szCs w:val="24"/>
          <w:lang w:eastAsia="en-GB"/>
        </w:rPr>
        <w:t xml:space="preserve"> </w:t>
      </w:r>
      <w:r w:rsidR="008E4A9F">
        <w:rPr>
          <w:rFonts w:eastAsia="Times New Roman" w:cs="Arial"/>
          <w:bCs/>
          <w:kern w:val="32"/>
          <w:sz w:val="24"/>
          <w:szCs w:val="24"/>
          <w:lang w:eastAsia="en-GB"/>
        </w:rPr>
        <w:t>fundamental</w:t>
      </w:r>
      <w:r>
        <w:rPr>
          <w:rFonts w:eastAsia="Times New Roman" w:cs="Arial"/>
          <w:bCs/>
          <w:kern w:val="32"/>
          <w:sz w:val="24"/>
          <w:szCs w:val="24"/>
          <w:lang w:eastAsia="en-GB"/>
        </w:rPr>
        <w:t xml:space="preserve"> value</w:t>
      </w:r>
      <w:r w:rsidR="00247D77">
        <w:rPr>
          <w:rFonts w:eastAsia="Times New Roman" w:cs="Arial"/>
          <w:bCs/>
          <w:kern w:val="32"/>
          <w:sz w:val="24"/>
          <w:szCs w:val="24"/>
          <w:lang w:eastAsia="en-GB"/>
        </w:rPr>
        <w:t xml:space="preserve">s and principles can help </w:t>
      </w:r>
      <w:r w:rsidR="00BF460D">
        <w:rPr>
          <w:rFonts w:eastAsia="Times New Roman" w:cs="Arial"/>
          <w:bCs/>
          <w:kern w:val="32"/>
          <w:sz w:val="24"/>
          <w:szCs w:val="24"/>
          <w:lang w:eastAsia="en-GB"/>
        </w:rPr>
        <w:t>a</w:t>
      </w:r>
      <w:r w:rsidR="00247D77">
        <w:rPr>
          <w:rFonts w:eastAsia="Times New Roman" w:cs="Arial"/>
          <w:bCs/>
          <w:kern w:val="32"/>
          <w:sz w:val="24"/>
          <w:szCs w:val="24"/>
          <w:lang w:eastAsia="en-GB"/>
        </w:rPr>
        <w:t xml:space="preserve"> development</w:t>
      </w:r>
      <w:r w:rsidR="00BF460D">
        <w:rPr>
          <w:rFonts w:eastAsia="Times New Roman" w:cs="Arial"/>
          <w:bCs/>
          <w:kern w:val="32"/>
          <w:sz w:val="24"/>
          <w:szCs w:val="24"/>
          <w:lang w:eastAsia="en-GB"/>
        </w:rPr>
        <w:t xml:space="preserve"> in such direction; furthermore,</w:t>
      </w:r>
      <w:r w:rsidR="00247D77">
        <w:rPr>
          <w:rFonts w:eastAsia="Times New Roman" w:cs="Arial"/>
          <w:bCs/>
          <w:kern w:val="32"/>
          <w:sz w:val="24"/>
          <w:szCs w:val="24"/>
          <w:lang w:eastAsia="en-GB"/>
        </w:rPr>
        <w:t xml:space="preserve"> </w:t>
      </w:r>
      <w:r w:rsidR="00BF460D">
        <w:rPr>
          <w:rFonts w:eastAsia="Times New Roman" w:cs="Arial"/>
          <w:bCs/>
          <w:kern w:val="32"/>
          <w:sz w:val="24"/>
          <w:szCs w:val="24"/>
          <w:lang w:eastAsia="en-GB"/>
        </w:rPr>
        <w:t>t</w:t>
      </w:r>
      <w:r w:rsidR="00BF460D" w:rsidRPr="00666284">
        <w:rPr>
          <w:rFonts w:eastAsia="Times New Roman" w:cs="Arial"/>
          <w:bCs/>
          <w:kern w:val="32"/>
          <w:sz w:val="24"/>
          <w:szCs w:val="24"/>
          <w:lang w:eastAsia="en-GB"/>
        </w:rPr>
        <w:t xml:space="preserve">he recent and growing influence of the human rights discourse </w:t>
      </w:r>
      <w:r w:rsidR="00BF460D">
        <w:rPr>
          <w:rFonts w:eastAsia="Times New Roman" w:cs="Arial"/>
          <w:bCs/>
          <w:kern w:val="32"/>
          <w:sz w:val="24"/>
          <w:szCs w:val="24"/>
          <w:lang w:eastAsia="en-GB"/>
        </w:rPr>
        <w:t xml:space="preserve">could also </w:t>
      </w:r>
      <w:r w:rsidR="00BF460D" w:rsidRPr="00666284">
        <w:rPr>
          <w:rFonts w:eastAsia="Times New Roman" w:cs="Arial"/>
          <w:bCs/>
          <w:kern w:val="32"/>
          <w:sz w:val="24"/>
          <w:szCs w:val="24"/>
          <w:lang w:eastAsia="en-GB"/>
        </w:rPr>
        <w:t>provide the possibility to de</w:t>
      </w:r>
      <w:r w:rsidR="00BF460D">
        <w:rPr>
          <w:rFonts w:eastAsia="Times New Roman" w:cs="Arial"/>
          <w:bCs/>
          <w:kern w:val="32"/>
          <w:sz w:val="24"/>
          <w:szCs w:val="24"/>
          <w:lang w:eastAsia="en-GB"/>
        </w:rPr>
        <w:t xml:space="preserve">velop a legal base in this area.  </w:t>
      </w:r>
      <w:r w:rsidR="00BF460D" w:rsidRPr="00BF460D">
        <w:rPr>
          <w:rFonts w:eastAsia="Times New Roman" w:cs="Arial"/>
          <w:bCs/>
          <w:kern w:val="32"/>
          <w:sz w:val="24"/>
          <w:szCs w:val="24"/>
          <w:lang w:eastAsia="en-GB"/>
        </w:rPr>
        <w:t xml:space="preserve">Article 2 of the Treaty on the European Union (TEU) states that human dignity is one of the values on which the Union is based; Article 3 TEU goes further by stating that the Union “… shall promote (…) solidarity between generations and protection of the rights of the child”.  </w:t>
      </w:r>
      <w:r w:rsidR="00BF460D">
        <w:rPr>
          <w:rFonts w:eastAsia="Times New Roman" w:cs="Arial"/>
          <w:bCs/>
          <w:kern w:val="32"/>
          <w:sz w:val="24"/>
          <w:szCs w:val="24"/>
          <w:lang w:eastAsia="en-GB"/>
        </w:rPr>
        <w:t>These provisions</w:t>
      </w:r>
      <w:r>
        <w:rPr>
          <w:rFonts w:eastAsia="Times New Roman" w:cs="Arial"/>
          <w:bCs/>
          <w:kern w:val="32"/>
          <w:sz w:val="24"/>
          <w:szCs w:val="24"/>
          <w:lang w:eastAsia="en-GB"/>
        </w:rPr>
        <w:t xml:space="preserve"> </w:t>
      </w:r>
      <w:r w:rsidR="00247D77">
        <w:rPr>
          <w:rFonts w:eastAsia="Times New Roman" w:cs="Arial"/>
          <w:bCs/>
          <w:kern w:val="32"/>
          <w:sz w:val="24"/>
          <w:szCs w:val="24"/>
          <w:lang w:eastAsia="en-GB"/>
        </w:rPr>
        <w:t>could provide</w:t>
      </w:r>
      <w:r>
        <w:rPr>
          <w:rFonts w:eastAsia="Times New Roman" w:cs="Arial"/>
          <w:bCs/>
          <w:kern w:val="32"/>
          <w:sz w:val="24"/>
          <w:szCs w:val="24"/>
          <w:lang w:eastAsia="en-GB"/>
        </w:rPr>
        <w:t xml:space="preserve"> </w:t>
      </w:r>
      <w:r w:rsidR="00BF460D">
        <w:rPr>
          <w:rFonts w:eastAsia="Times New Roman" w:cs="Arial"/>
          <w:bCs/>
          <w:kern w:val="32"/>
          <w:sz w:val="24"/>
          <w:szCs w:val="24"/>
          <w:lang w:eastAsia="en-GB"/>
        </w:rPr>
        <w:t>a base</w:t>
      </w:r>
      <w:r>
        <w:rPr>
          <w:rFonts w:eastAsia="Times New Roman" w:cs="Arial"/>
          <w:bCs/>
          <w:kern w:val="32"/>
          <w:sz w:val="24"/>
          <w:szCs w:val="24"/>
          <w:lang w:eastAsia="en-GB"/>
        </w:rPr>
        <w:t xml:space="preserve"> to ensure that </w:t>
      </w:r>
      <w:r w:rsidR="00C2012B">
        <w:rPr>
          <w:rFonts w:eastAsia="Times New Roman" w:cs="Arial"/>
          <w:bCs/>
          <w:kern w:val="32"/>
          <w:sz w:val="24"/>
          <w:szCs w:val="24"/>
          <w:lang w:eastAsia="en-GB"/>
        </w:rPr>
        <w:t>“</w:t>
      </w:r>
      <w:r>
        <w:rPr>
          <w:rFonts w:eastAsia="Times New Roman" w:cs="Arial"/>
          <w:bCs/>
          <w:kern w:val="32"/>
          <w:sz w:val="24"/>
          <w:szCs w:val="24"/>
          <w:lang w:eastAsia="en-GB"/>
        </w:rPr>
        <w:t>relationships of care, love and solidarity are nurtured</w:t>
      </w:r>
      <w:r w:rsidR="00C2012B">
        <w:rPr>
          <w:rFonts w:eastAsia="Times New Roman" w:cs="Arial"/>
          <w:bCs/>
          <w:kern w:val="32"/>
          <w:sz w:val="24"/>
          <w:szCs w:val="24"/>
          <w:lang w:eastAsia="en-GB"/>
        </w:rPr>
        <w:t>”</w:t>
      </w:r>
      <w:r w:rsidR="00C2012B">
        <w:rPr>
          <w:rStyle w:val="FootnoteReference"/>
          <w:rFonts w:eastAsia="Times New Roman" w:cs="Arial"/>
          <w:bCs/>
          <w:kern w:val="32"/>
          <w:sz w:val="24"/>
          <w:szCs w:val="24"/>
          <w:lang w:eastAsia="en-GB"/>
        </w:rPr>
        <w:footnoteReference w:id="65"/>
      </w:r>
      <w:r>
        <w:rPr>
          <w:rFonts w:eastAsia="Times New Roman" w:cs="Arial"/>
          <w:bCs/>
          <w:kern w:val="32"/>
          <w:sz w:val="24"/>
          <w:szCs w:val="24"/>
          <w:lang w:eastAsia="en-GB"/>
        </w:rPr>
        <w:t xml:space="preserve"> and valued. </w:t>
      </w:r>
      <w:r w:rsidR="00BF460D">
        <w:rPr>
          <w:rFonts w:eastAsia="Times New Roman" w:cs="Arial"/>
          <w:bCs/>
          <w:kern w:val="32"/>
          <w:sz w:val="24"/>
          <w:szCs w:val="24"/>
          <w:lang w:eastAsia="en-GB"/>
        </w:rPr>
        <w:t xml:space="preserve"> The</w:t>
      </w:r>
      <w:r w:rsidR="00666284" w:rsidRPr="00666284">
        <w:rPr>
          <w:rFonts w:eastAsia="Times New Roman" w:cs="Arial"/>
          <w:bCs/>
          <w:kern w:val="32"/>
          <w:sz w:val="24"/>
          <w:szCs w:val="24"/>
          <w:lang w:eastAsia="en-GB"/>
        </w:rPr>
        <w:t xml:space="preserve"> EU Charter of Fundamental Rights</w:t>
      </w:r>
      <w:r w:rsidR="00666284" w:rsidRPr="00666284">
        <w:rPr>
          <w:rFonts w:eastAsia="Times New Roman" w:cs="Arial"/>
          <w:bCs/>
          <w:kern w:val="32"/>
          <w:sz w:val="24"/>
          <w:szCs w:val="24"/>
          <w:vertAlign w:val="superscript"/>
          <w:lang w:eastAsia="en-GB"/>
        </w:rPr>
        <w:footnoteReference w:id="66"/>
      </w:r>
      <w:r w:rsidR="00666284" w:rsidRPr="00666284">
        <w:rPr>
          <w:rFonts w:eastAsia="Times New Roman" w:cs="Arial"/>
          <w:bCs/>
          <w:kern w:val="32"/>
          <w:sz w:val="24"/>
          <w:szCs w:val="24"/>
          <w:lang w:eastAsia="en-GB"/>
        </w:rPr>
        <w:t xml:space="preserve"> </w:t>
      </w:r>
      <w:r w:rsidR="00BF460D">
        <w:rPr>
          <w:rFonts w:eastAsia="Times New Roman" w:cs="Arial"/>
          <w:bCs/>
          <w:kern w:val="32"/>
          <w:sz w:val="24"/>
          <w:szCs w:val="24"/>
          <w:lang w:eastAsia="en-GB"/>
        </w:rPr>
        <w:t xml:space="preserve">by </w:t>
      </w:r>
      <w:r w:rsidR="00666284" w:rsidRPr="00666284">
        <w:rPr>
          <w:rFonts w:eastAsia="Times New Roman" w:cs="Arial"/>
          <w:bCs/>
          <w:kern w:val="32"/>
          <w:sz w:val="24"/>
          <w:szCs w:val="24"/>
          <w:lang w:eastAsia="en-GB"/>
        </w:rPr>
        <w:t>stating that the Union recognises “the rights of the elderly to lead a life of dignity and independence and to participate in social and cultural life”,</w:t>
      </w:r>
      <w:r w:rsidR="00666284" w:rsidRPr="00666284">
        <w:rPr>
          <w:rFonts w:eastAsia="Times New Roman" w:cs="Arial"/>
          <w:bCs/>
          <w:kern w:val="32"/>
          <w:sz w:val="24"/>
          <w:szCs w:val="24"/>
          <w:vertAlign w:val="superscript"/>
          <w:lang w:eastAsia="en-GB"/>
        </w:rPr>
        <w:footnoteReference w:id="67"/>
      </w:r>
      <w:r w:rsidR="00666284" w:rsidRPr="00666284">
        <w:rPr>
          <w:rFonts w:eastAsia="Times New Roman" w:cs="Arial"/>
          <w:bCs/>
          <w:kern w:val="32"/>
          <w:sz w:val="24"/>
          <w:szCs w:val="24"/>
          <w:lang w:eastAsia="en-GB"/>
        </w:rPr>
        <w:t xml:space="preserve"> “the rights of persons with disabilities”</w:t>
      </w:r>
      <w:r w:rsidR="00666284" w:rsidRPr="00666284">
        <w:rPr>
          <w:rFonts w:eastAsia="Times New Roman" w:cs="Arial"/>
          <w:bCs/>
          <w:kern w:val="32"/>
          <w:sz w:val="24"/>
          <w:szCs w:val="24"/>
          <w:vertAlign w:val="superscript"/>
          <w:lang w:eastAsia="en-GB"/>
        </w:rPr>
        <w:footnoteReference w:id="68"/>
      </w:r>
      <w:r w:rsidR="00666284" w:rsidRPr="00666284">
        <w:rPr>
          <w:rFonts w:eastAsia="Times New Roman" w:cs="Arial"/>
          <w:bCs/>
          <w:kern w:val="32"/>
          <w:sz w:val="24"/>
          <w:szCs w:val="24"/>
          <w:lang w:eastAsia="en-GB"/>
        </w:rPr>
        <w:t xml:space="preserve"> as well as the reference to inviolability of “human dignity”</w:t>
      </w:r>
      <w:r w:rsidR="00666284" w:rsidRPr="00666284">
        <w:rPr>
          <w:rFonts w:eastAsia="Times New Roman" w:cs="Arial"/>
          <w:bCs/>
          <w:kern w:val="32"/>
          <w:sz w:val="24"/>
          <w:szCs w:val="24"/>
          <w:vertAlign w:val="superscript"/>
          <w:lang w:eastAsia="en-GB"/>
        </w:rPr>
        <w:footnoteReference w:id="69"/>
      </w:r>
      <w:r w:rsidR="00666284" w:rsidRPr="00666284">
        <w:rPr>
          <w:rFonts w:eastAsia="Times New Roman" w:cs="Arial"/>
          <w:bCs/>
          <w:kern w:val="32"/>
          <w:sz w:val="24"/>
          <w:szCs w:val="24"/>
          <w:lang w:eastAsia="en-GB"/>
        </w:rPr>
        <w:t xml:space="preserve"> </w:t>
      </w:r>
      <w:r w:rsidR="00BF460D">
        <w:rPr>
          <w:rFonts w:eastAsia="Times New Roman" w:cs="Arial"/>
          <w:bCs/>
          <w:kern w:val="32"/>
          <w:sz w:val="24"/>
          <w:szCs w:val="24"/>
          <w:lang w:eastAsia="en-GB"/>
        </w:rPr>
        <w:t>further reinforce this message</w:t>
      </w:r>
      <w:r w:rsidR="00666284" w:rsidRPr="00666284">
        <w:rPr>
          <w:rFonts w:eastAsia="Times New Roman" w:cs="Arial"/>
          <w:bCs/>
          <w:kern w:val="32"/>
          <w:sz w:val="24"/>
          <w:szCs w:val="24"/>
          <w:lang w:eastAsia="en-GB"/>
        </w:rPr>
        <w:t xml:space="preserve">.  </w:t>
      </w:r>
    </w:p>
    <w:p w14:paraId="59A84DF8" w14:textId="3066E694" w:rsidR="00090D8C" w:rsidRPr="00A85D7F" w:rsidRDefault="00090D8C" w:rsidP="00A95ABC">
      <w:pPr>
        <w:spacing w:after="0"/>
        <w:jc w:val="both"/>
        <w:rPr>
          <w:rFonts w:cs="Times New Roman"/>
          <w:sz w:val="24"/>
          <w:szCs w:val="24"/>
        </w:rPr>
      </w:pPr>
    </w:p>
    <w:p w14:paraId="1E8F8EDE" w14:textId="1DBCFE37" w:rsidR="007109E6" w:rsidRDefault="00022A34" w:rsidP="00A95ABC">
      <w:pPr>
        <w:spacing w:after="0"/>
        <w:jc w:val="both"/>
        <w:rPr>
          <w:rFonts w:cs="Times New Roman"/>
          <w:sz w:val="24"/>
          <w:szCs w:val="24"/>
        </w:rPr>
      </w:pPr>
      <w:r>
        <w:rPr>
          <w:rFonts w:cs="Times New Roman"/>
          <w:sz w:val="24"/>
          <w:szCs w:val="24"/>
        </w:rPr>
        <w:t>Using these provisions as a starting point, t</w:t>
      </w:r>
      <w:r w:rsidR="00F06CDE" w:rsidRPr="00C73984">
        <w:rPr>
          <w:rFonts w:cs="Times New Roman"/>
          <w:sz w:val="24"/>
          <w:szCs w:val="24"/>
        </w:rPr>
        <w:t xml:space="preserve">he EU needs to </w:t>
      </w:r>
      <w:r w:rsidR="000861AE">
        <w:rPr>
          <w:rFonts w:cs="Times New Roman"/>
          <w:sz w:val="24"/>
          <w:szCs w:val="24"/>
        </w:rPr>
        <w:t>develop</w:t>
      </w:r>
      <w:r w:rsidR="00F06CDE" w:rsidRPr="00C73984">
        <w:rPr>
          <w:rFonts w:cs="Times New Roman"/>
          <w:sz w:val="24"/>
          <w:szCs w:val="24"/>
        </w:rPr>
        <w:t xml:space="preserve"> a range of possible </w:t>
      </w:r>
      <w:r w:rsidR="00090D8C" w:rsidRPr="00C73984">
        <w:rPr>
          <w:rFonts w:cs="Times New Roman"/>
          <w:sz w:val="24"/>
          <w:szCs w:val="24"/>
        </w:rPr>
        <w:t xml:space="preserve">short and long term </w:t>
      </w:r>
      <w:r w:rsidR="00F06CDE" w:rsidRPr="00C73984">
        <w:rPr>
          <w:rFonts w:cs="Times New Roman"/>
          <w:sz w:val="24"/>
          <w:szCs w:val="24"/>
        </w:rPr>
        <w:t>responses</w:t>
      </w:r>
      <w:r w:rsidR="007109E6">
        <w:rPr>
          <w:rFonts w:cs="Times New Roman"/>
          <w:sz w:val="24"/>
          <w:szCs w:val="24"/>
        </w:rPr>
        <w:t xml:space="preserve"> addressing both recipient (thus the very organisation of care) and carers</w:t>
      </w:r>
      <w:r w:rsidR="00F06CDE" w:rsidRPr="00C73984">
        <w:rPr>
          <w:rFonts w:cs="Times New Roman"/>
          <w:sz w:val="24"/>
          <w:szCs w:val="24"/>
        </w:rPr>
        <w:t xml:space="preserve">.  </w:t>
      </w:r>
    </w:p>
    <w:p w14:paraId="6DA21893" w14:textId="04689386" w:rsidR="00C73984" w:rsidRDefault="003A5487" w:rsidP="00A95ABC">
      <w:pPr>
        <w:spacing w:after="0"/>
        <w:jc w:val="both"/>
        <w:rPr>
          <w:rFonts w:cs="Times New Roman"/>
          <w:sz w:val="24"/>
          <w:szCs w:val="24"/>
        </w:rPr>
      </w:pPr>
      <w:r w:rsidRPr="00C73984">
        <w:rPr>
          <w:rFonts w:cs="Times New Roman"/>
          <w:sz w:val="24"/>
          <w:szCs w:val="24"/>
        </w:rPr>
        <w:t>A</w:t>
      </w:r>
      <w:r w:rsidR="000861AE">
        <w:rPr>
          <w:rFonts w:cs="Times New Roman"/>
          <w:sz w:val="24"/>
          <w:szCs w:val="24"/>
        </w:rPr>
        <w:t>s far as the organisation of LTC is concerned, a</w:t>
      </w:r>
      <w:r w:rsidRPr="00C73984">
        <w:rPr>
          <w:rFonts w:cs="Times New Roman"/>
          <w:sz w:val="24"/>
          <w:szCs w:val="24"/>
        </w:rPr>
        <w:t xml:space="preserve"> </w:t>
      </w:r>
      <w:r w:rsidR="00090D8C" w:rsidRPr="00C73984">
        <w:rPr>
          <w:rFonts w:cs="Times New Roman"/>
          <w:sz w:val="24"/>
          <w:szCs w:val="24"/>
        </w:rPr>
        <w:t>recent report</w:t>
      </w:r>
      <w:r w:rsidR="00090D8C" w:rsidRPr="00C73984">
        <w:rPr>
          <w:rStyle w:val="FootnoteReference"/>
          <w:rFonts w:cs="Times New Roman"/>
          <w:sz w:val="24"/>
          <w:szCs w:val="24"/>
        </w:rPr>
        <w:footnoteReference w:id="70"/>
      </w:r>
      <w:r w:rsidRPr="00C73984">
        <w:rPr>
          <w:rFonts w:cs="Times New Roman"/>
          <w:sz w:val="24"/>
          <w:szCs w:val="24"/>
        </w:rPr>
        <w:t xml:space="preserve"> </w:t>
      </w:r>
      <w:r w:rsidR="00090D8C" w:rsidRPr="00C73984">
        <w:rPr>
          <w:rFonts w:cs="Times New Roman"/>
          <w:sz w:val="24"/>
          <w:szCs w:val="24"/>
        </w:rPr>
        <w:t>has</w:t>
      </w:r>
      <w:r w:rsidRPr="00C73984">
        <w:rPr>
          <w:rFonts w:cs="Times New Roman"/>
          <w:sz w:val="24"/>
          <w:szCs w:val="24"/>
        </w:rPr>
        <w:t xml:space="preserve"> identified possible steps to improve he</w:t>
      </w:r>
      <w:r w:rsidR="00C73984" w:rsidRPr="00C73984">
        <w:rPr>
          <w:rFonts w:cs="Times New Roman"/>
          <w:sz w:val="24"/>
          <w:szCs w:val="24"/>
        </w:rPr>
        <w:t xml:space="preserve">alth among the older population.  These are based around three main concepts: </w:t>
      </w:r>
      <w:r w:rsidR="00C73984" w:rsidRPr="00C73984">
        <w:rPr>
          <w:rFonts w:cs="Times New Roman"/>
          <w:b/>
          <w:sz w:val="24"/>
          <w:szCs w:val="24"/>
        </w:rPr>
        <w:t>prevention</w:t>
      </w:r>
      <w:r w:rsidR="00D25E2A">
        <w:rPr>
          <w:rFonts w:cs="Times New Roman"/>
          <w:b/>
          <w:sz w:val="24"/>
          <w:szCs w:val="24"/>
        </w:rPr>
        <w:t>, rehabilitation and re-enablement.</w:t>
      </w:r>
      <w:r w:rsidR="00C73984" w:rsidRPr="00C73984">
        <w:rPr>
          <w:rFonts w:cs="Times New Roman"/>
          <w:sz w:val="24"/>
          <w:szCs w:val="24"/>
        </w:rPr>
        <w:t xml:space="preserve"> </w:t>
      </w:r>
      <w:r w:rsidR="007C6E5C">
        <w:rPr>
          <w:rFonts w:cs="Times New Roman"/>
          <w:sz w:val="24"/>
          <w:szCs w:val="24"/>
        </w:rPr>
        <w:t xml:space="preserve"> </w:t>
      </w:r>
      <w:r w:rsidR="00D25E2A">
        <w:rPr>
          <w:rFonts w:cs="Times New Roman"/>
          <w:sz w:val="24"/>
          <w:szCs w:val="24"/>
        </w:rPr>
        <w:t>Prevention refers to services</w:t>
      </w:r>
      <w:r w:rsidR="00D25E2A" w:rsidRPr="00D25E2A">
        <w:rPr>
          <w:rFonts w:cs="Times New Roman"/>
          <w:sz w:val="24"/>
          <w:szCs w:val="24"/>
        </w:rPr>
        <w:t xml:space="preserve"> for people with poor physical or mental health to help them </w:t>
      </w:r>
      <w:r w:rsidR="00D25E2A">
        <w:rPr>
          <w:rFonts w:cs="Times New Roman"/>
          <w:sz w:val="24"/>
          <w:szCs w:val="24"/>
        </w:rPr>
        <w:t xml:space="preserve">to </w:t>
      </w:r>
      <w:r w:rsidR="00D25E2A" w:rsidRPr="00D25E2A">
        <w:rPr>
          <w:rFonts w:cs="Times New Roman"/>
          <w:sz w:val="24"/>
          <w:szCs w:val="24"/>
        </w:rPr>
        <w:t>avoid unplanned or unnecessary admissions to hospital or residential settings</w:t>
      </w:r>
      <w:r w:rsidR="00D25E2A">
        <w:rPr>
          <w:rFonts w:cs="Times New Roman"/>
          <w:sz w:val="24"/>
          <w:szCs w:val="24"/>
        </w:rPr>
        <w:t>.  In certain circumstances, it c</w:t>
      </w:r>
      <w:r w:rsidR="00D25E2A" w:rsidRPr="00D25E2A">
        <w:rPr>
          <w:rFonts w:cs="Times New Roman"/>
          <w:sz w:val="24"/>
          <w:szCs w:val="24"/>
        </w:rPr>
        <w:t>an include short-term emergency interventions as well as longer term low-level support</w:t>
      </w:r>
      <w:r w:rsidR="00D25E2A">
        <w:rPr>
          <w:rFonts w:cs="Times New Roman"/>
          <w:sz w:val="24"/>
          <w:szCs w:val="24"/>
        </w:rPr>
        <w:t xml:space="preserve">; </w:t>
      </w:r>
      <w:r w:rsidR="00C73984" w:rsidRPr="00C73984">
        <w:rPr>
          <w:rFonts w:cs="Times New Roman"/>
          <w:b/>
          <w:sz w:val="24"/>
          <w:szCs w:val="24"/>
        </w:rPr>
        <w:t>rehabilitation</w:t>
      </w:r>
      <w:r w:rsidR="00C73984" w:rsidRPr="00C73984">
        <w:rPr>
          <w:rFonts w:cs="Times New Roman"/>
          <w:sz w:val="24"/>
          <w:szCs w:val="24"/>
        </w:rPr>
        <w:t xml:space="preserve"> </w:t>
      </w:r>
      <w:r w:rsidR="00D25E2A">
        <w:rPr>
          <w:rFonts w:cs="Times New Roman"/>
          <w:sz w:val="24"/>
          <w:szCs w:val="24"/>
        </w:rPr>
        <w:t xml:space="preserve">services to help people with poor physical or mental health to get better; finally </w:t>
      </w:r>
      <w:r w:rsidR="00C73984" w:rsidRPr="00C73984">
        <w:rPr>
          <w:rFonts w:cs="Times New Roman"/>
          <w:sz w:val="24"/>
          <w:szCs w:val="24"/>
        </w:rPr>
        <w:t xml:space="preserve">and </w:t>
      </w:r>
      <w:r w:rsidR="00C73984" w:rsidRPr="00C73984">
        <w:rPr>
          <w:rFonts w:cs="Times New Roman"/>
          <w:b/>
          <w:sz w:val="24"/>
          <w:szCs w:val="24"/>
        </w:rPr>
        <w:t>re-enablement</w:t>
      </w:r>
      <w:r w:rsidR="000861AE">
        <w:rPr>
          <w:rFonts w:cs="Times New Roman"/>
          <w:sz w:val="24"/>
          <w:szCs w:val="24"/>
        </w:rPr>
        <w:t>, a</w:t>
      </w:r>
      <w:r w:rsidR="000861AE" w:rsidRPr="000861AE">
        <w:rPr>
          <w:rFonts w:cs="Times New Roman"/>
          <w:sz w:val="24"/>
          <w:szCs w:val="24"/>
        </w:rPr>
        <w:t xml:space="preserve"> </w:t>
      </w:r>
      <w:r w:rsidR="000861AE">
        <w:rPr>
          <w:rFonts w:cs="Times New Roman"/>
          <w:sz w:val="24"/>
          <w:szCs w:val="24"/>
        </w:rPr>
        <w:t>recent</w:t>
      </w:r>
      <w:r w:rsidR="000861AE" w:rsidRPr="000861AE">
        <w:rPr>
          <w:rFonts w:cs="Times New Roman"/>
          <w:sz w:val="24"/>
          <w:szCs w:val="24"/>
        </w:rPr>
        <w:t xml:space="preserve"> concept and policy </w:t>
      </w:r>
      <w:r w:rsidR="000861AE">
        <w:rPr>
          <w:rFonts w:cs="Times New Roman"/>
          <w:sz w:val="24"/>
          <w:szCs w:val="24"/>
        </w:rPr>
        <w:t>developed especially</w:t>
      </w:r>
      <w:r w:rsidR="000861AE" w:rsidRPr="000861AE">
        <w:rPr>
          <w:rFonts w:cs="Times New Roman"/>
          <w:sz w:val="24"/>
          <w:szCs w:val="24"/>
        </w:rPr>
        <w:t xml:space="preserve"> in Denmark and in the UK</w:t>
      </w:r>
      <w:r w:rsidR="000861AE">
        <w:rPr>
          <w:rFonts w:cs="Times New Roman"/>
          <w:sz w:val="24"/>
          <w:szCs w:val="24"/>
        </w:rPr>
        <w:t xml:space="preserve">, that </w:t>
      </w:r>
      <w:r w:rsidR="000861AE" w:rsidRPr="000861AE">
        <w:rPr>
          <w:rFonts w:cs="Times New Roman"/>
          <w:sz w:val="24"/>
          <w:szCs w:val="24"/>
        </w:rPr>
        <w:t xml:space="preserve">aims to maximise independence and quality of life in older age, whilst at the same time reducing costs. </w:t>
      </w:r>
      <w:r w:rsidR="000861AE">
        <w:rPr>
          <w:rFonts w:cs="Times New Roman"/>
          <w:sz w:val="24"/>
          <w:szCs w:val="24"/>
        </w:rPr>
        <w:t xml:space="preserve"> </w:t>
      </w:r>
      <w:r w:rsidR="000861AE" w:rsidRPr="000861AE">
        <w:rPr>
          <w:rFonts w:cs="Times New Roman"/>
          <w:sz w:val="24"/>
          <w:szCs w:val="24"/>
        </w:rPr>
        <w:t xml:space="preserve">It </w:t>
      </w:r>
      <w:r w:rsidR="000861AE">
        <w:rPr>
          <w:rFonts w:cs="Times New Roman"/>
          <w:sz w:val="24"/>
          <w:szCs w:val="24"/>
        </w:rPr>
        <w:t>encourages</w:t>
      </w:r>
      <w:r w:rsidR="000861AE" w:rsidRPr="000861AE">
        <w:rPr>
          <w:rFonts w:cs="Times New Roman"/>
          <w:sz w:val="24"/>
          <w:szCs w:val="24"/>
        </w:rPr>
        <w:t xml:space="preserve"> individuals to do things themselves rather than doing it for them; focusing on real practical outcomes within a specified timeframe; and continuous rather than one-off assessment of an individual’s care needs.</w:t>
      </w:r>
    </w:p>
    <w:p w14:paraId="4C37CAF4" w14:textId="2E226CD0" w:rsidR="00D25E2A" w:rsidRPr="004A7884" w:rsidRDefault="00D25E2A" w:rsidP="00A95ABC">
      <w:pPr>
        <w:spacing w:after="0"/>
        <w:jc w:val="both"/>
        <w:rPr>
          <w:rFonts w:cs="Times New Roman"/>
          <w:sz w:val="24"/>
          <w:szCs w:val="24"/>
        </w:rPr>
      </w:pPr>
    </w:p>
    <w:p w14:paraId="1C9B5BBD" w14:textId="2F5460FA" w:rsidR="003A5487" w:rsidRPr="004A7884" w:rsidRDefault="00C73984" w:rsidP="00A95ABC">
      <w:pPr>
        <w:spacing w:after="0"/>
        <w:jc w:val="both"/>
        <w:rPr>
          <w:rFonts w:cs="Times New Roman"/>
          <w:sz w:val="24"/>
          <w:szCs w:val="24"/>
        </w:rPr>
      </w:pPr>
      <w:r w:rsidRPr="004A7884">
        <w:rPr>
          <w:rFonts w:cs="Times New Roman"/>
          <w:sz w:val="24"/>
          <w:szCs w:val="24"/>
        </w:rPr>
        <w:t xml:space="preserve">Overall these three principles are aimed at </w:t>
      </w:r>
      <w:r w:rsidR="003A5487" w:rsidRPr="004A7884">
        <w:rPr>
          <w:rFonts w:cs="Times New Roman"/>
          <w:sz w:val="24"/>
          <w:szCs w:val="24"/>
        </w:rPr>
        <w:t xml:space="preserve">better prevention and management of disability and frailty; improved coordination between health and social care providers; more effective </w:t>
      </w:r>
      <w:r w:rsidR="003A5487" w:rsidRPr="004A7884">
        <w:rPr>
          <w:rFonts w:cs="Times New Roman"/>
          <w:sz w:val="24"/>
          <w:szCs w:val="24"/>
        </w:rPr>
        <w:lastRenderedPageBreak/>
        <w:t xml:space="preserve">deployment of technology to promote independent living among the older population; </w:t>
      </w:r>
      <w:r w:rsidR="004A7884" w:rsidRPr="004A7884">
        <w:rPr>
          <w:rFonts w:cs="Times New Roman"/>
          <w:sz w:val="24"/>
          <w:szCs w:val="24"/>
        </w:rPr>
        <w:t xml:space="preserve">Furthermore, these </w:t>
      </w:r>
      <w:r w:rsidR="003A5487" w:rsidRPr="004A7884">
        <w:rPr>
          <w:rFonts w:cs="Times New Roman"/>
          <w:sz w:val="24"/>
          <w:szCs w:val="24"/>
        </w:rPr>
        <w:t xml:space="preserve">steps </w:t>
      </w:r>
      <w:r w:rsidR="004A7884" w:rsidRPr="004A7884">
        <w:rPr>
          <w:rFonts w:cs="Times New Roman"/>
          <w:sz w:val="24"/>
          <w:szCs w:val="24"/>
        </w:rPr>
        <w:t>need to be complemented with measures aimed at</w:t>
      </w:r>
      <w:r w:rsidR="003A5487" w:rsidRPr="004A7884">
        <w:rPr>
          <w:rFonts w:cs="Times New Roman"/>
          <w:sz w:val="24"/>
          <w:szCs w:val="24"/>
        </w:rPr>
        <w:t xml:space="preserve"> recruitment</w:t>
      </w:r>
      <w:r w:rsidR="004A7884" w:rsidRPr="004A7884">
        <w:rPr>
          <w:rFonts w:cs="Times New Roman"/>
          <w:sz w:val="24"/>
          <w:szCs w:val="24"/>
        </w:rPr>
        <w:t xml:space="preserve"> and retention of </w:t>
      </w:r>
      <w:r w:rsidR="003A5487" w:rsidRPr="004A7884">
        <w:rPr>
          <w:rFonts w:cs="Times New Roman"/>
          <w:sz w:val="24"/>
          <w:szCs w:val="24"/>
        </w:rPr>
        <w:t xml:space="preserve">formal carers; </w:t>
      </w:r>
      <w:r w:rsidR="004A7884" w:rsidRPr="004A7884">
        <w:rPr>
          <w:rFonts w:cs="Times New Roman"/>
          <w:sz w:val="24"/>
          <w:szCs w:val="24"/>
        </w:rPr>
        <w:t>as well as measures</w:t>
      </w:r>
      <w:r w:rsidR="003A5487" w:rsidRPr="004A7884">
        <w:rPr>
          <w:rFonts w:cs="Times New Roman"/>
          <w:sz w:val="24"/>
          <w:szCs w:val="24"/>
        </w:rPr>
        <w:t xml:space="preserve"> to support informal carers, including those who need or want to combine informal care with paid work outside the home. </w:t>
      </w:r>
    </w:p>
    <w:p w14:paraId="0108C824" w14:textId="77777777" w:rsidR="002E5B9E" w:rsidRPr="00022A34" w:rsidRDefault="002E5B9E" w:rsidP="00E230B4">
      <w:pPr>
        <w:spacing w:after="0"/>
        <w:jc w:val="both"/>
        <w:rPr>
          <w:rFonts w:cs="Times New Roman"/>
          <w:sz w:val="24"/>
          <w:szCs w:val="24"/>
        </w:rPr>
      </w:pPr>
    </w:p>
    <w:p w14:paraId="3C6ADE80" w14:textId="797C2D88" w:rsidR="00673D6D" w:rsidRPr="00397F7D" w:rsidRDefault="00022A34" w:rsidP="00E230B4">
      <w:pPr>
        <w:spacing w:after="0"/>
        <w:jc w:val="both"/>
        <w:rPr>
          <w:rFonts w:cs="Times New Roman"/>
          <w:color w:val="000000" w:themeColor="text1"/>
          <w:sz w:val="24"/>
          <w:szCs w:val="24"/>
        </w:rPr>
      </w:pPr>
      <w:r>
        <w:rPr>
          <w:rFonts w:cs="Times New Roman"/>
          <w:color w:val="000000" w:themeColor="text1"/>
          <w:sz w:val="24"/>
          <w:szCs w:val="24"/>
        </w:rPr>
        <w:t>When it comes to</w:t>
      </w:r>
      <w:r w:rsidR="007C6E5C" w:rsidRPr="00397F7D">
        <w:rPr>
          <w:rFonts w:cs="Times New Roman"/>
          <w:color w:val="000000" w:themeColor="text1"/>
          <w:sz w:val="24"/>
          <w:szCs w:val="24"/>
        </w:rPr>
        <w:t xml:space="preserve"> carers, </w:t>
      </w:r>
      <w:r>
        <w:rPr>
          <w:rFonts w:cs="Times New Roman"/>
          <w:color w:val="000000" w:themeColor="text1"/>
          <w:sz w:val="24"/>
          <w:szCs w:val="24"/>
        </w:rPr>
        <w:t xml:space="preserve">as this paper has highlighted above, </w:t>
      </w:r>
      <w:r w:rsidR="007C6E5C" w:rsidRPr="00397F7D">
        <w:rPr>
          <w:rFonts w:cs="Times New Roman"/>
          <w:color w:val="000000" w:themeColor="text1"/>
          <w:sz w:val="24"/>
          <w:szCs w:val="24"/>
        </w:rPr>
        <w:t xml:space="preserve">some rights </w:t>
      </w:r>
      <w:r w:rsidR="00E230B4" w:rsidRPr="00397F7D">
        <w:rPr>
          <w:rFonts w:cs="Times New Roman"/>
          <w:color w:val="000000" w:themeColor="text1"/>
          <w:sz w:val="24"/>
          <w:szCs w:val="24"/>
        </w:rPr>
        <w:t xml:space="preserve">already </w:t>
      </w:r>
      <w:r w:rsidR="007C6E5C" w:rsidRPr="00397F7D">
        <w:rPr>
          <w:rFonts w:cs="Times New Roman"/>
          <w:color w:val="000000" w:themeColor="text1"/>
          <w:sz w:val="24"/>
          <w:szCs w:val="24"/>
        </w:rPr>
        <w:t>exist. These are based on the</w:t>
      </w:r>
      <w:r w:rsidR="009D058A" w:rsidRPr="00397F7D">
        <w:rPr>
          <w:color w:val="000000" w:themeColor="text1"/>
          <w:sz w:val="24"/>
          <w:szCs w:val="24"/>
        </w:rPr>
        <w:t xml:space="preserve"> model provided by carers for young (and healthy) children. </w:t>
      </w:r>
      <w:r w:rsidR="009D058A" w:rsidRPr="00397F7D">
        <w:rPr>
          <w:rFonts w:cs="Times New Roman"/>
          <w:color w:val="000000" w:themeColor="text1"/>
          <w:sz w:val="24"/>
          <w:szCs w:val="24"/>
        </w:rPr>
        <w:t xml:space="preserve"> </w:t>
      </w:r>
      <w:r w:rsidR="00673D6D" w:rsidRPr="00397F7D">
        <w:rPr>
          <w:rFonts w:cs="Times New Roman"/>
          <w:color w:val="000000" w:themeColor="text1"/>
          <w:sz w:val="24"/>
          <w:szCs w:val="24"/>
        </w:rPr>
        <w:t xml:space="preserve">However, although both </w:t>
      </w:r>
      <w:r w:rsidRPr="00397F7D">
        <w:rPr>
          <w:rFonts w:cs="Times New Roman"/>
          <w:color w:val="000000" w:themeColor="text1"/>
          <w:sz w:val="24"/>
          <w:szCs w:val="24"/>
        </w:rPr>
        <w:t>types</w:t>
      </w:r>
      <w:r w:rsidR="00673D6D" w:rsidRPr="00397F7D">
        <w:rPr>
          <w:rFonts w:cs="Times New Roman"/>
          <w:color w:val="000000" w:themeColor="text1"/>
          <w:sz w:val="24"/>
          <w:szCs w:val="24"/>
        </w:rPr>
        <w:t xml:space="preserve"> of carers are in a similar position because of their vulnerability, there are important differences in the demands that they face.  These entail, </w:t>
      </w:r>
      <w:r w:rsidR="00673D6D" w:rsidRPr="00397F7D">
        <w:rPr>
          <w:rFonts w:cs="Times New Roman"/>
          <w:i/>
          <w:color w:val="000000" w:themeColor="text1"/>
          <w:sz w:val="24"/>
          <w:szCs w:val="24"/>
        </w:rPr>
        <w:t>inter alia</w:t>
      </w:r>
      <w:r w:rsidR="00673D6D" w:rsidRPr="00397F7D">
        <w:rPr>
          <w:rFonts w:cs="Times New Roman"/>
          <w:color w:val="000000" w:themeColor="text1"/>
          <w:sz w:val="24"/>
          <w:szCs w:val="24"/>
        </w:rPr>
        <w:t xml:space="preserve">, the duration, the intensity or nature of the care needed by adults that is likely to fluctuate significantly across time depending on the nature and the cause (such as old age, disability) of vulnerability which has generated the need for care in the first place.  </w:t>
      </w:r>
    </w:p>
    <w:p w14:paraId="0C7E3D9C" w14:textId="4E489125" w:rsidR="009D058A" w:rsidRPr="00397F7D" w:rsidRDefault="00673D6D" w:rsidP="00E230B4">
      <w:pPr>
        <w:spacing w:after="0"/>
        <w:jc w:val="both"/>
        <w:rPr>
          <w:rFonts w:cs="Times New Roman"/>
          <w:color w:val="000000" w:themeColor="text1"/>
          <w:sz w:val="24"/>
          <w:szCs w:val="24"/>
        </w:rPr>
      </w:pPr>
      <w:r w:rsidRPr="00397F7D">
        <w:rPr>
          <w:rFonts w:cs="Times New Roman"/>
          <w:color w:val="000000" w:themeColor="text1"/>
          <w:sz w:val="24"/>
          <w:szCs w:val="24"/>
        </w:rPr>
        <w:t xml:space="preserve">It is crucial that these differences are acknowledged and thus, whilst </w:t>
      </w:r>
      <w:r w:rsidR="00783891" w:rsidRPr="00397F7D">
        <w:rPr>
          <w:rFonts w:cs="Times New Roman"/>
          <w:color w:val="000000" w:themeColor="text1"/>
          <w:sz w:val="24"/>
          <w:szCs w:val="24"/>
        </w:rPr>
        <w:t xml:space="preserve">the rights for carers of children </w:t>
      </w:r>
      <w:r w:rsidR="009D058A" w:rsidRPr="00397F7D">
        <w:rPr>
          <w:rFonts w:cs="Times New Roman"/>
          <w:color w:val="000000" w:themeColor="text1"/>
          <w:sz w:val="24"/>
          <w:szCs w:val="24"/>
        </w:rPr>
        <w:t>are an obvious starting point for considering the structure of legal rights for</w:t>
      </w:r>
      <w:r w:rsidR="00783891" w:rsidRPr="00397F7D">
        <w:rPr>
          <w:rFonts w:cs="Times New Roman"/>
          <w:color w:val="000000" w:themeColor="text1"/>
          <w:sz w:val="24"/>
          <w:szCs w:val="24"/>
        </w:rPr>
        <w:t xml:space="preserve"> adult</w:t>
      </w:r>
      <w:r w:rsidR="009D058A" w:rsidRPr="00397F7D">
        <w:rPr>
          <w:rFonts w:cs="Times New Roman"/>
          <w:color w:val="000000" w:themeColor="text1"/>
          <w:sz w:val="24"/>
          <w:szCs w:val="24"/>
        </w:rPr>
        <w:t xml:space="preserve"> carers</w:t>
      </w:r>
      <w:r w:rsidR="007109E6" w:rsidRPr="00397F7D">
        <w:rPr>
          <w:rFonts w:cs="Times New Roman"/>
          <w:color w:val="000000" w:themeColor="text1"/>
          <w:sz w:val="24"/>
          <w:szCs w:val="24"/>
        </w:rPr>
        <w:t xml:space="preserve">.  </w:t>
      </w:r>
      <w:r w:rsidR="009D058A" w:rsidRPr="00397F7D">
        <w:rPr>
          <w:rFonts w:cs="Times New Roman"/>
          <w:color w:val="000000" w:themeColor="text1"/>
          <w:sz w:val="24"/>
          <w:szCs w:val="24"/>
        </w:rPr>
        <w:t xml:space="preserve">As James argues, the difficulties in reconciling unpaid care for elderly dependents with paid work </w:t>
      </w:r>
      <w:r w:rsidR="00C2012B" w:rsidRPr="00397F7D">
        <w:rPr>
          <w:rFonts w:cs="Times New Roman"/>
          <w:color w:val="000000" w:themeColor="text1"/>
          <w:sz w:val="24"/>
          <w:szCs w:val="24"/>
        </w:rPr>
        <w:t>“</w:t>
      </w:r>
      <w:r w:rsidR="009D058A" w:rsidRPr="00397F7D">
        <w:rPr>
          <w:rFonts w:cs="Times New Roman"/>
          <w:color w:val="000000" w:themeColor="text1"/>
          <w:sz w:val="24"/>
          <w:szCs w:val="24"/>
        </w:rPr>
        <w:t>is a conundrum it is no longer, if it ever was, wise to pursue as an awkward extension of childcare/paid work contexts</w:t>
      </w:r>
      <w:r w:rsidR="00C2012B" w:rsidRPr="00397F7D">
        <w:rPr>
          <w:rFonts w:cs="Times New Roman"/>
          <w:color w:val="000000" w:themeColor="text1"/>
          <w:sz w:val="24"/>
          <w:szCs w:val="24"/>
        </w:rPr>
        <w:t>.”</w:t>
      </w:r>
      <w:r w:rsidR="006413E2" w:rsidRPr="00397F7D">
        <w:rPr>
          <w:rStyle w:val="FootnoteReference"/>
          <w:rFonts w:cs="Times New Roman"/>
          <w:color w:val="000000" w:themeColor="text1"/>
          <w:sz w:val="24"/>
          <w:szCs w:val="24"/>
        </w:rPr>
        <w:footnoteReference w:id="71"/>
      </w:r>
      <w:r w:rsidR="009D058A" w:rsidRPr="00397F7D">
        <w:rPr>
          <w:rFonts w:cs="Times New Roman"/>
          <w:color w:val="000000" w:themeColor="text1"/>
          <w:sz w:val="24"/>
          <w:szCs w:val="24"/>
        </w:rPr>
        <w:t xml:space="preserve"> </w:t>
      </w:r>
    </w:p>
    <w:p w14:paraId="7FC69E82" w14:textId="77777777" w:rsidR="009D058A" w:rsidRPr="00022A34" w:rsidRDefault="009D058A" w:rsidP="00E230B4">
      <w:pPr>
        <w:pStyle w:val="Default"/>
        <w:spacing w:line="276" w:lineRule="auto"/>
        <w:jc w:val="both"/>
        <w:rPr>
          <w:rFonts w:asciiTheme="minorHAnsi" w:hAnsiTheme="minorHAnsi"/>
          <w:color w:val="auto"/>
        </w:rPr>
      </w:pPr>
    </w:p>
    <w:p w14:paraId="2390D9AF" w14:textId="37F0A815" w:rsidR="00022A34" w:rsidRPr="00022A34" w:rsidRDefault="00022A34" w:rsidP="00022A34">
      <w:pPr>
        <w:pStyle w:val="Default"/>
        <w:spacing w:line="276" w:lineRule="auto"/>
        <w:jc w:val="both"/>
        <w:rPr>
          <w:rFonts w:asciiTheme="minorHAnsi" w:hAnsiTheme="minorHAnsi"/>
          <w:color w:val="auto"/>
        </w:rPr>
      </w:pPr>
      <w:r w:rsidRPr="00022A34">
        <w:rPr>
          <w:rFonts w:asciiTheme="minorHAnsi" w:hAnsiTheme="minorHAnsi"/>
          <w:color w:val="auto"/>
        </w:rPr>
        <w:t>The</w:t>
      </w:r>
      <w:r w:rsidR="009D058A" w:rsidRPr="00022A34">
        <w:rPr>
          <w:rFonts w:asciiTheme="minorHAnsi" w:hAnsiTheme="minorHAnsi"/>
          <w:color w:val="auto"/>
        </w:rPr>
        <w:t xml:space="preserve"> European Commission and European Parliament have considered the introduction of specific legislation to benefit</w:t>
      </w:r>
      <w:r w:rsidRPr="00022A34">
        <w:rPr>
          <w:rFonts w:asciiTheme="minorHAnsi" w:hAnsiTheme="minorHAnsi"/>
          <w:color w:val="auto"/>
        </w:rPr>
        <w:t xml:space="preserve"> specifically</w:t>
      </w:r>
      <w:r w:rsidR="009D058A" w:rsidRPr="00022A34">
        <w:rPr>
          <w:rFonts w:asciiTheme="minorHAnsi" w:hAnsiTheme="minorHAnsi"/>
          <w:color w:val="auto"/>
        </w:rPr>
        <w:t xml:space="preserve"> </w:t>
      </w:r>
      <w:r w:rsidRPr="00022A34">
        <w:rPr>
          <w:rFonts w:asciiTheme="minorHAnsi" w:hAnsiTheme="minorHAnsi"/>
          <w:color w:val="auto"/>
        </w:rPr>
        <w:t>adult carers</w:t>
      </w:r>
      <w:r w:rsidR="009D058A" w:rsidRPr="00022A34">
        <w:rPr>
          <w:rFonts w:asciiTheme="minorHAnsi" w:hAnsiTheme="minorHAnsi"/>
          <w:color w:val="auto"/>
        </w:rPr>
        <w:t xml:space="preserve"> but this has not, to date, resulted in regulation.  </w:t>
      </w:r>
      <w:r w:rsidRPr="00022A34">
        <w:rPr>
          <w:rFonts w:asciiTheme="minorHAnsi" w:hAnsiTheme="minorHAnsi"/>
          <w:color w:val="auto"/>
        </w:rPr>
        <w:t>Specifically, i</w:t>
      </w:r>
      <w:r w:rsidR="009D058A" w:rsidRPr="00022A34">
        <w:rPr>
          <w:rFonts w:asciiTheme="minorHAnsi" w:hAnsiTheme="minorHAnsi"/>
          <w:color w:val="auto"/>
        </w:rPr>
        <w:t>n 2006 the European Commission advocated for the need to explore measures such as “leave to care for elderly parents or disable family members”.</w:t>
      </w:r>
      <w:r w:rsidRPr="00022A34">
        <w:rPr>
          <w:rFonts w:asciiTheme="minorHAnsi" w:hAnsiTheme="minorHAnsi"/>
          <w:color w:val="auto"/>
        </w:rPr>
        <w:t xml:space="preserve">  </w:t>
      </w:r>
      <w:r w:rsidR="009D058A" w:rsidRPr="00022A34">
        <w:rPr>
          <w:rFonts w:asciiTheme="minorHAnsi" w:hAnsiTheme="minorHAnsi"/>
          <w:color w:val="auto"/>
        </w:rPr>
        <w:t>In 2011</w:t>
      </w:r>
      <w:r w:rsidRPr="00022A34">
        <w:rPr>
          <w:rFonts w:asciiTheme="minorHAnsi" w:hAnsiTheme="minorHAnsi"/>
          <w:color w:val="auto"/>
        </w:rPr>
        <w:t>,</w:t>
      </w:r>
      <w:r w:rsidR="009D058A" w:rsidRPr="00022A34">
        <w:rPr>
          <w:rFonts w:asciiTheme="minorHAnsi" w:hAnsiTheme="minorHAnsi"/>
          <w:color w:val="auto"/>
        </w:rPr>
        <w:t xml:space="preserve"> a consultation </w:t>
      </w:r>
      <w:r w:rsidRPr="00022A34">
        <w:rPr>
          <w:rFonts w:asciiTheme="minorHAnsi" w:hAnsiTheme="minorHAnsi"/>
          <w:color w:val="auto"/>
        </w:rPr>
        <w:t xml:space="preserve">was initiated </w:t>
      </w:r>
      <w:r w:rsidR="009D058A" w:rsidRPr="00022A34">
        <w:rPr>
          <w:rFonts w:asciiTheme="minorHAnsi" w:hAnsiTheme="minorHAnsi"/>
          <w:color w:val="auto"/>
        </w:rPr>
        <w:t>on possible EU measures in the area of carers’ leave</w:t>
      </w:r>
      <w:r w:rsidR="006413E2" w:rsidRPr="00022A34">
        <w:rPr>
          <w:rStyle w:val="FootnoteReference"/>
          <w:rFonts w:asciiTheme="minorHAnsi" w:hAnsiTheme="minorHAnsi"/>
          <w:color w:val="auto"/>
        </w:rPr>
        <w:footnoteReference w:id="72"/>
      </w:r>
      <w:r w:rsidR="009D058A" w:rsidRPr="00022A34">
        <w:rPr>
          <w:rFonts w:asciiTheme="minorHAnsi" w:hAnsiTheme="minorHAnsi"/>
          <w:color w:val="auto"/>
        </w:rPr>
        <w:t xml:space="preserve"> and in 2013 the European Parliament passed</w:t>
      </w:r>
      <w:r w:rsidRPr="00022A34">
        <w:rPr>
          <w:rFonts w:asciiTheme="minorHAnsi" w:hAnsiTheme="minorHAnsi"/>
          <w:color w:val="auto"/>
        </w:rPr>
        <w:t xml:space="preserve"> a</w:t>
      </w:r>
      <w:r w:rsidR="009D058A" w:rsidRPr="00022A34">
        <w:rPr>
          <w:rFonts w:asciiTheme="minorHAnsi" w:hAnsiTheme="minorHAnsi"/>
          <w:color w:val="auto"/>
        </w:rPr>
        <w:t xml:space="preserve"> Resolution</w:t>
      </w:r>
      <w:r w:rsidRPr="00022A34">
        <w:rPr>
          <w:rStyle w:val="FootnoteReference"/>
          <w:rFonts w:asciiTheme="minorHAnsi" w:hAnsiTheme="minorHAnsi"/>
          <w:color w:val="auto"/>
        </w:rPr>
        <w:footnoteReference w:id="73"/>
      </w:r>
      <w:r w:rsidR="009D058A" w:rsidRPr="00022A34">
        <w:rPr>
          <w:rFonts w:asciiTheme="minorHAnsi" w:hAnsiTheme="minorHAnsi"/>
          <w:color w:val="auto"/>
        </w:rPr>
        <w:t xml:space="preserve"> calling on the Commission and the Member States to </w:t>
      </w:r>
      <w:r w:rsidRPr="00022A34">
        <w:rPr>
          <w:rFonts w:asciiTheme="minorHAnsi" w:hAnsiTheme="minorHAnsi"/>
          <w:color w:val="auto"/>
        </w:rPr>
        <w:t>“</w:t>
      </w:r>
      <w:r w:rsidR="009D058A" w:rsidRPr="00022A34">
        <w:rPr>
          <w:rFonts w:asciiTheme="minorHAnsi" w:hAnsiTheme="minorHAnsi"/>
          <w:color w:val="auto"/>
        </w:rPr>
        <w:t>develop a coherent framework for all types of care leave</w:t>
      </w:r>
      <w:r w:rsidRPr="00022A34">
        <w:rPr>
          <w:rFonts w:asciiTheme="minorHAnsi" w:hAnsiTheme="minorHAnsi"/>
          <w:color w:val="auto"/>
        </w:rPr>
        <w:t>”</w:t>
      </w:r>
      <w:r w:rsidR="009D058A" w:rsidRPr="00022A34">
        <w:rPr>
          <w:rFonts w:asciiTheme="minorHAnsi" w:hAnsiTheme="minorHAnsi"/>
          <w:color w:val="auto"/>
        </w:rPr>
        <w:t xml:space="preserve"> and to </w:t>
      </w:r>
      <w:r w:rsidRPr="00022A34">
        <w:rPr>
          <w:rFonts w:asciiTheme="minorHAnsi" w:hAnsiTheme="minorHAnsi"/>
          <w:color w:val="auto"/>
        </w:rPr>
        <w:t>“</w:t>
      </w:r>
      <w:r w:rsidR="009D058A" w:rsidRPr="00022A34">
        <w:rPr>
          <w:rFonts w:asciiTheme="minorHAnsi" w:hAnsiTheme="minorHAnsi"/>
          <w:color w:val="auto"/>
        </w:rPr>
        <w:t>propose a directive on carers' leave, in line with the subsidiarity principle as set out in the Treaty</w:t>
      </w:r>
      <w:r w:rsidRPr="00022A34">
        <w:rPr>
          <w:rFonts w:asciiTheme="minorHAnsi" w:hAnsiTheme="minorHAnsi"/>
          <w:color w:val="auto"/>
        </w:rPr>
        <w:t>”</w:t>
      </w:r>
      <w:r w:rsidR="006413E2" w:rsidRPr="00022A34">
        <w:rPr>
          <w:rFonts w:asciiTheme="minorHAnsi" w:hAnsiTheme="minorHAnsi"/>
          <w:color w:val="auto"/>
        </w:rPr>
        <w:t>.</w:t>
      </w:r>
      <w:r w:rsidR="006413E2" w:rsidRPr="00022A34">
        <w:rPr>
          <w:rStyle w:val="FootnoteReference"/>
          <w:rFonts w:asciiTheme="minorHAnsi" w:hAnsiTheme="minorHAnsi"/>
          <w:color w:val="auto"/>
        </w:rPr>
        <w:footnoteReference w:id="74"/>
      </w:r>
      <w:r w:rsidR="009D058A" w:rsidRPr="00022A34">
        <w:rPr>
          <w:rFonts w:asciiTheme="minorHAnsi" w:hAnsiTheme="minorHAnsi"/>
          <w:color w:val="auto"/>
        </w:rPr>
        <w:t xml:space="preserve">  In a speech last year to the European Parliament Interest Group on Carers Commissioner Tonio Borg promised a </w:t>
      </w:r>
      <w:r w:rsidR="009D058A" w:rsidRPr="00022A34">
        <w:rPr>
          <w:rFonts w:asciiTheme="minorHAnsi" w:hAnsiTheme="minorHAnsi"/>
          <w:i/>
          <w:color w:val="auto"/>
        </w:rPr>
        <w:t xml:space="preserve">possible </w:t>
      </w:r>
      <w:r w:rsidR="009D058A" w:rsidRPr="00022A34">
        <w:rPr>
          <w:rFonts w:asciiTheme="minorHAnsi" w:hAnsiTheme="minorHAnsi"/>
          <w:color w:val="auto"/>
        </w:rPr>
        <w:t>carers’ strategy</w:t>
      </w:r>
      <w:r w:rsidRPr="00022A34">
        <w:rPr>
          <w:rFonts w:asciiTheme="minorHAnsi" w:hAnsiTheme="minorHAnsi"/>
          <w:color w:val="auto"/>
        </w:rPr>
        <w:t xml:space="preserve">. </w:t>
      </w:r>
      <w:r w:rsidR="00185744">
        <w:rPr>
          <w:rFonts w:asciiTheme="minorHAnsi" w:hAnsiTheme="minorHAnsi"/>
          <w:color w:val="auto"/>
        </w:rPr>
        <w:t xml:space="preserve"> </w:t>
      </w:r>
      <w:r w:rsidRPr="00022A34">
        <w:rPr>
          <w:rFonts w:asciiTheme="minorHAnsi" w:hAnsiTheme="minorHAnsi"/>
          <w:color w:val="auto"/>
        </w:rPr>
        <w:t>Also in this case,</w:t>
      </w:r>
      <w:r w:rsidR="009D058A" w:rsidRPr="00022A34">
        <w:rPr>
          <w:rFonts w:asciiTheme="minorHAnsi" w:hAnsiTheme="minorHAnsi"/>
          <w:color w:val="auto"/>
        </w:rPr>
        <w:t xml:space="preserve"> no specific mention of legislation</w:t>
      </w:r>
      <w:r w:rsidRPr="00022A34">
        <w:rPr>
          <w:rFonts w:asciiTheme="minorHAnsi" w:hAnsiTheme="minorHAnsi"/>
          <w:color w:val="auto"/>
        </w:rPr>
        <w:t xml:space="preserve"> was made</w:t>
      </w:r>
      <w:r w:rsidR="009D058A" w:rsidRPr="00022A34">
        <w:rPr>
          <w:rFonts w:asciiTheme="minorHAnsi" w:hAnsiTheme="minorHAnsi"/>
          <w:color w:val="auto"/>
        </w:rPr>
        <w:t>.</w:t>
      </w:r>
      <w:r w:rsidR="006413E2" w:rsidRPr="00022A34">
        <w:rPr>
          <w:rStyle w:val="FootnoteReference"/>
          <w:rFonts w:asciiTheme="minorHAnsi" w:hAnsiTheme="minorHAnsi"/>
          <w:color w:val="auto"/>
        </w:rPr>
        <w:footnoteReference w:id="75"/>
      </w:r>
      <w:r w:rsidR="009D058A" w:rsidRPr="00022A34">
        <w:rPr>
          <w:rFonts w:asciiTheme="minorHAnsi" w:hAnsiTheme="minorHAnsi"/>
          <w:color w:val="auto"/>
        </w:rPr>
        <w:t xml:space="preserve">  </w:t>
      </w:r>
    </w:p>
    <w:p w14:paraId="4E507BC8" w14:textId="77777777" w:rsidR="009D058A" w:rsidRPr="007B5B7D" w:rsidRDefault="009D058A" w:rsidP="009D058A">
      <w:pPr>
        <w:autoSpaceDE w:val="0"/>
        <w:autoSpaceDN w:val="0"/>
        <w:adjustRightInd w:val="0"/>
        <w:spacing w:after="0"/>
        <w:jc w:val="both"/>
        <w:rPr>
          <w:rFonts w:cs="Times New Roman"/>
          <w:b/>
          <w:sz w:val="24"/>
          <w:szCs w:val="24"/>
        </w:rPr>
      </w:pPr>
    </w:p>
    <w:p w14:paraId="0D085C9E" w14:textId="538920AE" w:rsidR="006413E2" w:rsidRPr="007B5B7D" w:rsidRDefault="0027473C" w:rsidP="006413E2">
      <w:pPr>
        <w:spacing w:after="0"/>
        <w:jc w:val="both"/>
        <w:rPr>
          <w:rFonts w:cs="Times New Roman"/>
          <w:sz w:val="24"/>
          <w:szCs w:val="24"/>
        </w:rPr>
      </w:pPr>
      <w:r w:rsidRPr="007B5B7D">
        <w:rPr>
          <w:rFonts w:cs="Times New Roman"/>
          <w:sz w:val="24"/>
          <w:szCs w:val="24"/>
        </w:rPr>
        <w:t>C</w:t>
      </w:r>
      <w:r w:rsidR="00022A34" w:rsidRPr="007B5B7D">
        <w:rPr>
          <w:rFonts w:cs="Times New Roman"/>
          <w:sz w:val="24"/>
          <w:szCs w:val="24"/>
        </w:rPr>
        <w:t>oncluding, it is established that the EU needs to address the growing demand for a LTC strategy</w:t>
      </w:r>
      <w:r w:rsidR="00185744">
        <w:rPr>
          <w:rFonts w:cs="Times New Roman"/>
          <w:sz w:val="24"/>
          <w:szCs w:val="24"/>
        </w:rPr>
        <w:t>:</w:t>
      </w:r>
      <w:r w:rsidR="00022A34" w:rsidRPr="007B5B7D">
        <w:rPr>
          <w:rFonts w:cs="Times New Roman"/>
          <w:sz w:val="24"/>
          <w:szCs w:val="24"/>
        </w:rPr>
        <w:t xml:space="preserve"> this </w:t>
      </w:r>
      <w:r w:rsidRPr="007B5B7D">
        <w:rPr>
          <w:rFonts w:cs="Times New Roman"/>
          <w:sz w:val="24"/>
          <w:szCs w:val="24"/>
        </w:rPr>
        <w:t xml:space="preserve">will be no easy task. </w:t>
      </w:r>
      <w:r w:rsidR="007C6E5C" w:rsidRPr="007B5B7D">
        <w:rPr>
          <w:rFonts w:cs="Times New Roman"/>
          <w:sz w:val="24"/>
          <w:szCs w:val="24"/>
        </w:rPr>
        <w:t xml:space="preserve"> </w:t>
      </w:r>
      <w:r w:rsidR="007B5B7D" w:rsidRPr="007B5B7D">
        <w:rPr>
          <w:rFonts w:cs="Times New Roman"/>
          <w:sz w:val="24"/>
          <w:szCs w:val="24"/>
        </w:rPr>
        <w:t>In particular</w:t>
      </w:r>
      <w:r w:rsidR="00185744">
        <w:rPr>
          <w:rFonts w:cs="Times New Roman"/>
          <w:sz w:val="24"/>
          <w:szCs w:val="24"/>
        </w:rPr>
        <w:t>,</w:t>
      </w:r>
      <w:r w:rsidR="00022A34" w:rsidRPr="007B5B7D">
        <w:rPr>
          <w:rFonts w:cs="Times New Roman"/>
          <w:sz w:val="24"/>
          <w:szCs w:val="24"/>
        </w:rPr>
        <w:t xml:space="preserve"> in light of the divergent long term care </w:t>
      </w:r>
      <w:r w:rsidR="007B5B7D" w:rsidRPr="007B5B7D">
        <w:rPr>
          <w:rFonts w:cs="Times New Roman"/>
          <w:sz w:val="24"/>
          <w:szCs w:val="24"/>
        </w:rPr>
        <w:t xml:space="preserve">structures across Member States, there </w:t>
      </w:r>
      <w:r w:rsidR="00185744">
        <w:rPr>
          <w:rFonts w:cs="Times New Roman"/>
          <w:sz w:val="24"/>
          <w:szCs w:val="24"/>
        </w:rPr>
        <w:t xml:space="preserve">is </w:t>
      </w:r>
      <w:r w:rsidR="007B5B7D" w:rsidRPr="007B5B7D">
        <w:rPr>
          <w:rFonts w:cs="Times New Roman"/>
          <w:sz w:val="24"/>
          <w:szCs w:val="24"/>
        </w:rPr>
        <w:t xml:space="preserve">an argument to support the idea that </w:t>
      </w:r>
      <w:r w:rsidR="00022A34" w:rsidRPr="007B5B7D">
        <w:rPr>
          <w:rFonts w:cs="Times New Roman"/>
          <w:sz w:val="24"/>
          <w:szCs w:val="24"/>
        </w:rPr>
        <w:t xml:space="preserve">regulation of long term care </w:t>
      </w:r>
      <w:r w:rsidR="007B5B7D" w:rsidRPr="007B5B7D">
        <w:rPr>
          <w:rFonts w:cs="Times New Roman"/>
          <w:sz w:val="24"/>
          <w:szCs w:val="24"/>
        </w:rPr>
        <w:t>should remain addressed at national level and</w:t>
      </w:r>
      <w:r w:rsidR="00022A34" w:rsidRPr="007B5B7D">
        <w:rPr>
          <w:rFonts w:cs="Times New Roman"/>
          <w:sz w:val="24"/>
          <w:szCs w:val="24"/>
        </w:rPr>
        <w:t xml:space="preserve"> the role of the EU </w:t>
      </w:r>
      <w:r w:rsidR="007B5B7D" w:rsidRPr="007B5B7D">
        <w:rPr>
          <w:rFonts w:cs="Times New Roman"/>
          <w:sz w:val="24"/>
          <w:szCs w:val="24"/>
        </w:rPr>
        <w:t xml:space="preserve">should remain that of a facilitator.  However, the EU should make sure that the basic values </w:t>
      </w:r>
      <w:r w:rsidR="007B5B7D" w:rsidRPr="007B5B7D">
        <w:rPr>
          <w:rFonts w:cs="Times New Roman"/>
          <w:sz w:val="24"/>
          <w:szCs w:val="24"/>
        </w:rPr>
        <w:lastRenderedPageBreak/>
        <w:t xml:space="preserve">enshrined in the EU Treaty and of the Charter of Fundamental Rights are </w:t>
      </w:r>
      <w:r w:rsidR="00A80AD1">
        <w:rPr>
          <w:rFonts w:cs="Times New Roman"/>
          <w:sz w:val="24"/>
          <w:szCs w:val="24"/>
        </w:rPr>
        <w:t>upheld</w:t>
      </w:r>
      <w:r w:rsidR="007B5B7D" w:rsidRPr="007B5B7D">
        <w:rPr>
          <w:rFonts w:cs="Times New Roman"/>
          <w:sz w:val="24"/>
          <w:szCs w:val="24"/>
        </w:rPr>
        <w:t xml:space="preserve">.  Finally, this paper remains aware that the </w:t>
      </w:r>
      <w:r w:rsidRPr="007B5B7D">
        <w:rPr>
          <w:rFonts w:cs="Times New Roman"/>
          <w:sz w:val="24"/>
          <w:szCs w:val="24"/>
        </w:rPr>
        <w:t xml:space="preserve">current economic climate </w:t>
      </w:r>
      <w:r w:rsidR="007B5B7D" w:rsidRPr="007B5B7D">
        <w:rPr>
          <w:rFonts w:cs="Times New Roman"/>
          <w:sz w:val="24"/>
          <w:szCs w:val="24"/>
        </w:rPr>
        <w:t>is</w:t>
      </w:r>
      <w:r w:rsidRPr="007B5B7D">
        <w:rPr>
          <w:rFonts w:cs="Times New Roman"/>
          <w:sz w:val="24"/>
          <w:szCs w:val="24"/>
        </w:rPr>
        <w:t xml:space="preserve"> likely to </w:t>
      </w:r>
      <w:r w:rsidR="007B5B7D" w:rsidRPr="007B5B7D">
        <w:rPr>
          <w:rFonts w:cs="Times New Roman"/>
          <w:sz w:val="24"/>
          <w:szCs w:val="24"/>
        </w:rPr>
        <w:t>provide a strong counter argument</w:t>
      </w:r>
      <w:r w:rsidR="00C2012B" w:rsidRPr="007B5B7D">
        <w:rPr>
          <w:rFonts w:cs="Times New Roman"/>
          <w:sz w:val="24"/>
          <w:szCs w:val="24"/>
        </w:rPr>
        <w:t xml:space="preserve"> to the improvement of </w:t>
      </w:r>
      <w:r w:rsidRPr="007B5B7D">
        <w:rPr>
          <w:rFonts w:cs="Times New Roman"/>
          <w:sz w:val="24"/>
          <w:szCs w:val="24"/>
        </w:rPr>
        <w:t xml:space="preserve">social </w:t>
      </w:r>
      <w:r w:rsidR="004F0888" w:rsidRPr="007B5B7D">
        <w:rPr>
          <w:rFonts w:cs="Times New Roman"/>
          <w:sz w:val="24"/>
          <w:szCs w:val="24"/>
        </w:rPr>
        <w:t>rights</w:t>
      </w:r>
      <w:r w:rsidR="000C5496" w:rsidRPr="007B5B7D">
        <w:rPr>
          <w:rFonts w:cs="Times New Roman"/>
          <w:sz w:val="24"/>
          <w:szCs w:val="24"/>
        </w:rPr>
        <w:t xml:space="preserve">. </w:t>
      </w:r>
      <w:r w:rsidR="007B5B7D" w:rsidRPr="007B5B7D">
        <w:rPr>
          <w:rFonts w:cs="Times New Roman"/>
          <w:sz w:val="24"/>
          <w:szCs w:val="24"/>
        </w:rPr>
        <w:t xml:space="preserve"> There is a widespread </w:t>
      </w:r>
      <w:r w:rsidR="000C5496" w:rsidRPr="007B5B7D">
        <w:rPr>
          <w:rFonts w:cs="Times New Roman"/>
          <w:sz w:val="24"/>
          <w:szCs w:val="24"/>
        </w:rPr>
        <w:t>perception that</w:t>
      </w:r>
      <w:r w:rsidRPr="007B5B7D">
        <w:rPr>
          <w:rFonts w:cs="Times New Roman"/>
          <w:sz w:val="24"/>
          <w:szCs w:val="24"/>
        </w:rPr>
        <w:t xml:space="preserve"> </w:t>
      </w:r>
      <w:r w:rsidR="000C5496" w:rsidRPr="007B5B7D">
        <w:rPr>
          <w:rFonts w:cs="Times New Roman"/>
          <w:sz w:val="24"/>
          <w:szCs w:val="24"/>
        </w:rPr>
        <w:t xml:space="preserve">social rights increase </w:t>
      </w:r>
      <w:r w:rsidRPr="007B5B7D">
        <w:rPr>
          <w:rFonts w:cs="Times New Roman"/>
          <w:sz w:val="24"/>
          <w:szCs w:val="24"/>
        </w:rPr>
        <w:t>burdens on business</w:t>
      </w:r>
      <w:r w:rsidR="007B5B7D" w:rsidRPr="007B5B7D">
        <w:rPr>
          <w:rFonts w:cs="Times New Roman"/>
          <w:sz w:val="24"/>
          <w:szCs w:val="24"/>
        </w:rPr>
        <w:t xml:space="preserve">: yet, economic priorities should not be used to bypass fundamental rights. </w:t>
      </w:r>
      <w:r w:rsidR="006413E2" w:rsidRPr="007B5B7D">
        <w:rPr>
          <w:rFonts w:cs="Times New Roman"/>
          <w:sz w:val="24"/>
          <w:szCs w:val="24"/>
        </w:rPr>
        <w:t xml:space="preserve"> </w:t>
      </w:r>
    </w:p>
    <w:p w14:paraId="4A42EF19" w14:textId="77777777" w:rsidR="00022A34" w:rsidRPr="007B5B7D" w:rsidRDefault="00022A34" w:rsidP="006413E2">
      <w:pPr>
        <w:spacing w:after="0"/>
        <w:jc w:val="both"/>
        <w:rPr>
          <w:rFonts w:cs="Times New Roman"/>
          <w:sz w:val="24"/>
          <w:szCs w:val="24"/>
        </w:rPr>
      </w:pPr>
    </w:p>
    <w:p w14:paraId="0A283A68" w14:textId="77777777" w:rsidR="008B3F2C" w:rsidRPr="007B5B7D" w:rsidRDefault="008B3F2C" w:rsidP="00A95ABC">
      <w:pPr>
        <w:pStyle w:val="EndnoteText"/>
        <w:spacing w:line="276" w:lineRule="auto"/>
        <w:rPr>
          <w:rFonts w:cs="Times New Roman"/>
          <w:sz w:val="24"/>
          <w:szCs w:val="24"/>
        </w:rPr>
      </w:pPr>
    </w:p>
    <w:p w14:paraId="0531B831" w14:textId="77777777" w:rsidR="00D00A16" w:rsidRPr="006863FF" w:rsidRDefault="00D00A16" w:rsidP="00C6794D">
      <w:pPr>
        <w:jc w:val="both"/>
      </w:pPr>
    </w:p>
    <w:sectPr w:rsidR="00D00A16" w:rsidRPr="006863F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1E6B7" w14:textId="77777777" w:rsidR="003810F0" w:rsidRDefault="003810F0" w:rsidP="00A2398C">
      <w:pPr>
        <w:spacing w:after="0" w:line="240" w:lineRule="auto"/>
      </w:pPr>
      <w:r>
        <w:separator/>
      </w:r>
    </w:p>
  </w:endnote>
  <w:endnote w:type="continuationSeparator" w:id="0">
    <w:p w14:paraId="6F5F5CAB" w14:textId="77777777" w:rsidR="003810F0" w:rsidRDefault="003810F0" w:rsidP="00A2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 CENA">
    <w:altName w:val="Times New Roman"/>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2A8F9" w14:textId="77777777" w:rsidR="003810F0" w:rsidRDefault="003810F0" w:rsidP="00A2398C">
      <w:pPr>
        <w:spacing w:after="0" w:line="240" w:lineRule="auto"/>
      </w:pPr>
      <w:r>
        <w:separator/>
      </w:r>
    </w:p>
  </w:footnote>
  <w:footnote w:type="continuationSeparator" w:id="0">
    <w:p w14:paraId="17E9F674" w14:textId="77777777" w:rsidR="003810F0" w:rsidRDefault="003810F0" w:rsidP="00A2398C">
      <w:pPr>
        <w:spacing w:after="0" w:line="240" w:lineRule="auto"/>
      </w:pPr>
      <w:r>
        <w:continuationSeparator/>
      </w:r>
    </w:p>
  </w:footnote>
  <w:footnote w:id="1">
    <w:p w14:paraId="46A49A3C" w14:textId="43CEB598" w:rsidR="000E6D58" w:rsidRDefault="000E6D58" w:rsidP="00E51213">
      <w:pPr>
        <w:keepNext/>
        <w:spacing w:after="0"/>
        <w:jc w:val="both"/>
        <w:outlineLvl w:val="0"/>
        <w:rPr>
          <w:rFonts w:ascii="Calibri" w:eastAsia="Times New Roman" w:hAnsi="Calibri" w:cs="Arial"/>
          <w:bCs/>
          <w:kern w:val="32"/>
          <w:sz w:val="20"/>
          <w:szCs w:val="20"/>
          <w:lang w:eastAsia="en-GB"/>
        </w:rPr>
      </w:pPr>
      <w:r w:rsidRPr="00AF5F1B">
        <w:rPr>
          <w:rFonts w:eastAsia="Times New Roman" w:cs="Times New Roman"/>
          <w:b/>
          <w:sz w:val="20"/>
          <w:szCs w:val="20"/>
          <w:vertAlign w:val="superscript"/>
          <w:lang w:val="x-none" w:eastAsia="x-none"/>
        </w:rPr>
        <w:t>*</w:t>
      </w:r>
      <w:r>
        <w:rPr>
          <w:rFonts w:eastAsia="Times New Roman" w:cs="Times New Roman"/>
          <w:b/>
          <w:sz w:val="20"/>
          <w:szCs w:val="20"/>
          <w:vertAlign w:val="superscript"/>
          <w:lang w:eastAsia="x-none"/>
        </w:rPr>
        <w:t xml:space="preserve"> </w:t>
      </w:r>
      <w:r w:rsidRPr="00AF5F1B">
        <w:rPr>
          <w:rFonts w:ascii="Calibri" w:hAnsi="Calibri"/>
          <w:color w:val="000000"/>
          <w:sz w:val="20"/>
          <w:szCs w:val="20"/>
          <w:lang w:eastAsia="en-GB"/>
        </w:rPr>
        <w:t>E</w:t>
      </w:r>
      <w:r>
        <w:rPr>
          <w:rFonts w:ascii="Calibri" w:hAnsi="Calibri"/>
          <w:color w:val="000000"/>
          <w:sz w:val="20"/>
          <w:szCs w:val="20"/>
          <w:lang w:eastAsia="en-GB"/>
        </w:rPr>
        <w:t>.</w:t>
      </w:r>
      <w:r w:rsidRPr="00AF5F1B">
        <w:rPr>
          <w:rFonts w:ascii="Calibri" w:hAnsi="Calibri"/>
          <w:color w:val="000000"/>
          <w:sz w:val="20"/>
          <w:szCs w:val="20"/>
          <w:lang w:eastAsia="en-GB"/>
        </w:rPr>
        <w:t xml:space="preserve"> Caracciolo di Torella </w:t>
      </w:r>
      <w:r w:rsidRPr="00AF5F1B">
        <w:rPr>
          <w:rFonts w:ascii="Calibri" w:eastAsia="Times New Roman" w:hAnsi="Calibri" w:cs="Arial"/>
          <w:bCs/>
          <w:kern w:val="32"/>
          <w:sz w:val="20"/>
          <w:szCs w:val="20"/>
          <w:lang w:eastAsia="en-GB"/>
        </w:rPr>
        <w:t>(University of Leicester, UK)</w:t>
      </w:r>
      <w:r w:rsidR="00C262EA">
        <w:rPr>
          <w:rFonts w:ascii="Calibri" w:eastAsia="Times New Roman" w:hAnsi="Calibri" w:cs="Arial"/>
          <w:bCs/>
          <w:kern w:val="32"/>
          <w:sz w:val="20"/>
          <w:szCs w:val="20"/>
          <w:lang w:eastAsia="en-GB"/>
        </w:rPr>
        <w:t xml:space="preserve"> </w:t>
      </w:r>
      <w:hyperlink r:id="rId1" w:history="1">
        <w:r w:rsidR="008D4C62" w:rsidRPr="00F67C05">
          <w:rPr>
            <w:rStyle w:val="Hyperlink"/>
            <w:rFonts w:ascii="Calibri" w:eastAsia="Times New Roman" w:hAnsi="Calibri" w:cs="Arial"/>
            <w:bCs/>
            <w:kern w:val="32"/>
            <w:sz w:val="20"/>
            <w:szCs w:val="20"/>
            <w:lang w:eastAsia="en-GB"/>
          </w:rPr>
          <w:t>ecdt1@le.ac.uk</w:t>
        </w:r>
      </w:hyperlink>
      <w:r w:rsidR="008D4C62">
        <w:rPr>
          <w:rFonts w:ascii="Calibri" w:eastAsia="Times New Roman" w:hAnsi="Calibri" w:cs="Arial"/>
          <w:bCs/>
          <w:kern w:val="32"/>
          <w:sz w:val="20"/>
          <w:szCs w:val="20"/>
          <w:lang w:eastAsia="en-GB"/>
        </w:rPr>
        <w:t xml:space="preserve">; </w:t>
      </w:r>
      <w:r w:rsidRPr="00AF5F1B">
        <w:rPr>
          <w:rFonts w:ascii="Calibri" w:eastAsia="Times New Roman" w:hAnsi="Calibri" w:cs="Arial"/>
          <w:bCs/>
          <w:kern w:val="32"/>
          <w:sz w:val="20"/>
          <w:szCs w:val="20"/>
          <w:lang w:eastAsia="en-GB"/>
        </w:rPr>
        <w:t xml:space="preserve"> </w:t>
      </w:r>
      <w:r w:rsidRPr="00AF5F1B">
        <w:rPr>
          <w:rFonts w:ascii="Calibri" w:hAnsi="Calibri"/>
          <w:color w:val="000000"/>
          <w:sz w:val="20"/>
          <w:szCs w:val="20"/>
          <w:lang w:eastAsia="en-GB"/>
        </w:rPr>
        <w:t xml:space="preserve">A. Masselot </w:t>
      </w:r>
      <w:r w:rsidRPr="00AF5F1B">
        <w:rPr>
          <w:rFonts w:ascii="Calibri" w:eastAsia="Times New Roman" w:hAnsi="Calibri" w:cs="Arial"/>
          <w:bCs/>
          <w:kern w:val="32"/>
          <w:sz w:val="20"/>
          <w:szCs w:val="20"/>
          <w:lang w:eastAsia="en-GB"/>
        </w:rPr>
        <w:t>(University of Canterbury, NZ)</w:t>
      </w:r>
      <w:r w:rsidR="00C262EA">
        <w:rPr>
          <w:rFonts w:ascii="Calibri" w:eastAsia="Times New Roman" w:hAnsi="Calibri" w:cs="Arial"/>
          <w:bCs/>
          <w:kern w:val="32"/>
          <w:sz w:val="20"/>
          <w:szCs w:val="20"/>
          <w:lang w:eastAsia="en-GB"/>
        </w:rPr>
        <w:t xml:space="preserve"> </w:t>
      </w:r>
      <w:r w:rsidR="00C9723C">
        <w:rPr>
          <w:rFonts w:ascii="Calibri" w:eastAsia="Times New Roman" w:hAnsi="Calibri" w:cs="Arial"/>
          <w:bCs/>
          <w:kern w:val="32"/>
          <w:sz w:val="20"/>
          <w:szCs w:val="20"/>
          <w:lang w:eastAsia="en-GB"/>
        </w:rPr>
        <w:t>annick.masselot@canterbury.ac.nz</w:t>
      </w:r>
      <w:r w:rsidRPr="00AF5F1B">
        <w:rPr>
          <w:rFonts w:ascii="Calibri" w:eastAsia="Times New Roman" w:hAnsi="Calibri" w:cs="Arial"/>
          <w:bCs/>
          <w:kern w:val="32"/>
          <w:sz w:val="20"/>
          <w:szCs w:val="20"/>
          <w:lang w:eastAsia="en-GB"/>
        </w:rPr>
        <w:t xml:space="preserve">. </w:t>
      </w:r>
    </w:p>
    <w:p w14:paraId="6864D7B3" w14:textId="77777777" w:rsidR="000E6D58" w:rsidRPr="00E51213" w:rsidRDefault="000E6D58" w:rsidP="00E51213">
      <w:pPr>
        <w:keepNext/>
        <w:spacing w:after="0"/>
        <w:jc w:val="both"/>
        <w:outlineLvl w:val="0"/>
        <w:rPr>
          <w:rFonts w:ascii="Calibri" w:hAnsi="Calibri"/>
          <w:color w:val="000000"/>
          <w:sz w:val="20"/>
          <w:szCs w:val="20"/>
          <w:lang w:eastAsia="en-GB"/>
        </w:rPr>
      </w:pPr>
    </w:p>
  </w:footnote>
  <w:footnote w:id="2">
    <w:p w14:paraId="5B174366" w14:textId="71414C5B" w:rsidR="000E6D58" w:rsidRDefault="000E6D58" w:rsidP="00E76DC5">
      <w:pPr>
        <w:pStyle w:val="FootnoteText"/>
      </w:pPr>
      <w:r>
        <w:rPr>
          <w:rStyle w:val="FootnoteReference"/>
        </w:rPr>
        <w:footnoteRef/>
      </w:r>
      <w:r>
        <w:t xml:space="preserve"> See e.g. </w:t>
      </w:r>
      <w:r w:rsidRPr="008F2B4E">
        <w:rPr>
          <w:b/>
        </w:rPr>
        <w:t>J. Herring</w:t>
      </w:r>
      <w:r>
        <w:t xml:space="preserve">, </w:t>
      </w:r>
      <w:r w:rsidRPr="008F2B4E">
        <w:rPr>
          <w:i/>
        </w:rPr>
        <w:t xml:space="preserve">Older People </w:t>
      </w:r>
      <w:r>
        <w:rPr>
          <w:i/>
        </w:rPr>
        <w:t>i</w:t>
      </w:r>
      <w:r w:rsidRPr="008F2B4E">
        <w:rPr>
          <w:i/>
        </w:rPr>
        <w:t>n Law and Society</w:t>
      </w:r>
      <w:r>
        <w:t xml:space="preserve">, (OUP, 2009) and </w:t>
      </w:r>
      <w:r w:rsidRPr="008F2B4E">
        <w:rPr>
          <w:i/>
        </w:rPr>
        <w:t xml:space="preserve">Caring and the </w:t>
      </w:r>
      <w:r>
        <w:t xml:space="preserve">Law (Hart, 2013). </w:t>
      </w:r>
    </w:p>
    <w:p w14:paraId="7FB3DF04" w14:textId="77777777" w:rsidR="000E6D58" w:rsidRPr="00115FF4" w:rsidRDefault="000E6D58" w:rsidP="00E76DC5">
      <w:pPr>
        <w:pStyle w:val="FootnoteText"/>
        <w:rPr>
          <w:u w:val="single"/>
        </w:rPr>
      </w:pPr>
    </w:p>
  </w:footnote>
  <w:footnote w:id="3">
    <w:p w14:paraId="504375A3" w14:textId="1E42382E" w:rsidR="000E6D58" w:rsidRDefault="000E6D58">
      <w:pPr>
        <w:pStyle w:val="FootnoteText"/>
        <w:rPr>
          <w:rStyle w:val="Hyperlink"/>
        </w:rPr>
      </w:pPr>
      <w:r>
        <w:rPr>
          <w:rStyle w:val="FootnoteReference"/>
        </w:rPr>
        <w:footnoteRef/>
      </w:r>
      <w:r>
        <w:t xml:space="preserve"> European Commission, </w:t>
      </w:r>
      <w:r w:rsidRPr="00FB513B">
        <w:rPr>
          <w:i/>
        </w:rPr>
        <w:t>The 2015 Ageing Report</w:t>
      </w:r>
      <w:r>
        <w:t xml:space="preserve">, available at </w:t>
      </w:r>
      <w:hyperlink r:id="rId2" w:history="1">
        <w:r w:rsidRPr="00A03595">
          <w:rPr>
            <w:rStyle w:val="Hyperlink"/>
          </w:rPr>
          <w:t>http://ec.europa.eu/economy_finance/publications/european_economy/2015/pdf/ee3_en.pdf</w:t>
        </w:r>
      </w:hyperlink>
    </w:p>
    <w:p w14:paraId="04BE8556" w14:textId="77777777" w:rsidR="000E6D58" w:rsidRPr="00FB513B" w:rsidRDefault="000E6D58">
      <w:pPr>
        <w:pStyle w:val="FootnoteText"/>
      </w:pPr>
    </w:p>
  </w:footnote>
  <w:footnote w:id="4">
    <w:p w14:paraId="0812D2E3" w14:textId="2F41A75E" w:rsidR="000E6D58" w:rsidRDefault="000E6D58" w:rsidP="008F2B4E">
      <w:pPr>
        <w:pStyle w:val="FootnoteText"/>
      </w:pPr>
      <w:r>
        <w:rPr>
          <w:rStyle w:val="FootnoteReference"/>
        </w:rPr>
        <w:footnoteRef/>
      </w:r>
      <w:r>
        <w:t xml:space="preserve"> European Commission, </w:t>
      </w:r>
      <w:r w:rsidRPr="008F2B4E">
        <w:rPr>
          <w:i/>
        </w:rPr>
        <w:t>The 2015 Ageing Report</w:t>
      </w:r>
      <w:r>
        <w:t>.</w:t>
      </w:r>
    </w:p>
    <w:p w14:paraId="1B1FD52C" w14:textId="77777777" w:rsidR="000E6D58" w:rsidRDefault="000E6D58" w:rsidP="008F2B4E">
      <w:pPr>
        <w:pStyle w:val="FootnoteText"/>
      </w:pPr>
    </w:p>
  </w:footnote>
  <w:footnote w:id="5">
    <w:p w14:paraId="79CFC226" w14:textId="3D7C1D55" w:rsidR="000E6D58" w:rsidRDefault="000E6D58">
      <w:pPr>
        <w:pStyle w:val="FootnoteText"/>
      </w:pPr>
      <w:r>
        <w:rPr>
          <w:rStyle w:val="FootnoteReference"/>
        </w:rPr>
        <w:footnoteRef/>
      </w:r>
      <w:r>
        <w:t xml:space="preserve"> </w:t>
      </w:r>
      <w:r w:rsidRPr="00FB513B">
        <w:rPr>
          <w:b/>
        </w:rPr>
        <w:t>J. Herring</w:t>
      </w:r>
      <w:r>
        <w:t xml:space="preserve">, </w:t>
      </w:r>
      <w:r w:rsidRPr="00823DE4">
        <w:rPr>
          <w:i/>
        </w:rPr>
        <w:t>Older People in Law and Society</w:t>
      </w:r>
      <w:r>
        <w:t>, (OUP, 2009).</w:t>
      </w:r>
    </w:p>
    <w:p w14:paraId="711B403B" w14:textId="77777777" w:rsidR="000E6D58" w:rsidRDefault="000E6D58">
      <w:pPr>
        <w:pStyle w:val="FootnoteText"/>
      </w:pPr>
    </w:p>
  </w:footnote>
  <w:footnote w:id="6">
    <w:p w14:paraId="7A0BF23F" w14:textId="7568B29C" w:rsidR="000E6D58" w:rsidRDefault="000E6D58" w:rsidP="006C34EF">
      <w:pPr>
        <w:pStyle w:val="FootnoteText"/>
      </w:pPr>
      <w:r>
        <w:rPr>
          <w:rStyle w:val="FootnoteReference"/>
        </w:rPr>
        <w:footnoteRef/>
      </w:r>
      <w:r>
        <w:t xml:space="preserve"> This can be particularly challenging:</w:t>
      </w:r>
      <w:r w:rsidRPr="00893E4A">
        <w:t xml:space="preserve"> </w:t>
      </w:r>
      <w:r>
        <w:t xml:space="preserve">older people </w:t>
      </w:r>
      <w:r w:rsidRPr="00893E4A">
        <w:t xml:space="preserve">in fact might both need care and often at the same time are themselves (informal) carers to others. </w:t>
      </w:r>
    </w:p>
    <w:p w14:paraId="6BAFB644" w14:textId="77777777" w:rsidR="000E6D58" w:rsidRPr="00893E4A" w:rsidRDefault="000E6D58" w:rsidP="006C34EF">
      <w:pPr>
        <w:pStyle w:val="FootnoteText"/>
        <w:rPr>
          <w:bCs/>
        </w:rPr>
      </w:pPr>
    </w:p>
  </w:footnote>
  <w:footnote w:id="7">
    <w:p w14:paraId="1321B132" w14:textId="2AC025B7" w:rsidR="000E6D58" w:rsidRPr="000065A0" w:rsidRDefault="000E6D58">
      <w:pPr>
        <w:pStyle w:val="FootnoteText"/>
      </w:pPr>
      <w:r w:rsidRPr="008F2B4E">
        <w:rPr>
          <w:rStyle w:val="FootnoteReference"/>
        </w:rPr>
        <w:footnoteRef/>
      </w:r>
      <w:r w:rsidRPr="008F2B4E">
        <w:t xml:space="preserve"> See e.g., </w:t>
      </w:r>
      <w:r w:rsidRPr="008F2B4E">
        <w:rPr>
          <w:rFonts w:eastAsia="Times New Roman" w:cs="Arial"/>
          <w:bCs/>
          <w:kern w:val="32"/>
          <w:lang w:eastAsia="en-GB"/>
        </w:rPr>
        <w:t>COM(2001) 723; COM(2002) 774; COM(2004) 304;  COM(2007) 244 final and</w:t>
      </w:r>
      <w:r w:rsidRPr="008F2B4E">
        <w:rPr>
          <w:rFonts w:eastAsia="Times New Roman" w:cs="Arial"/>
          <w:b/>
          <w:bCs/>
          <w:kern w:val="32"/>
          <w:lang w:eastAsia="en-GB"/>
        </w:rPr>
        <w:t xml:space="preserve"> </w:t>
      </w:r>
      <w:r w:rsidRPr="008F2B4E">
        <w:rPr>
          <w:rFonts w:eastAsia="Times New Roman" w:cs="Arial"/>
          <w:bCs/>
          <w:kern w:val="32"/>
          <w:lang w:eastAsia="en-GB"/>
        </w:rPr>
        <w:t>COM(2008) 635.</w:t>
      </w:r>
    </w:p>
  </w:footnote>
  <w:footnote w:id="8">
    <w:p w14:paraId="5CC669EC" w14:textId="2F5FC3D7" w:rsidR="000E6D58" w:rsidRDefault="000E6D58">
      <w:pPr>
        <w:pStyle w:val="FootnoteText"/>
      </w:pPr>
      <w:r w:rsidRPr="00A60809">
        <w:rPr>
          <w:rStyle w:val="FootnoteReference"/>
        </w:rPr>
        <w:footnoteRef/>
      </w:r>
      <w:r w:rsidRPr="00A60809">
        <w:t xml:space="preserve"> </w:t>
      </w:r>
      <w:r w:rsidRPr="001F20B7">
        <w:rPr>
          <w:b/>
        </w:rPr>
        <w:t>T. Hervey</w:t>
      </w:r>
      <w:r w:rsidRPr="00A60809">
        <w:rPr>
          <w:lang w:val="en"/>
        </w:rPr>
        <w:t xml:space="preserve">, </w:t>
      </w:r>
      <w:r w:rsidRPr="001F20B7">
        <w:rPr>
          <w:b/>
          <w:lang w:val="en"/>
        </w:rPr>
        <w:t>A. Stark</w:t>
      </w:r>
      <w:r w:rsidRPr="00A60809">
        <w:rPr>
          <w:lang w:val="en"/>
        </w:rPr>
        <w:t xml:space="preserve">, </w:t>
      </w:r>
      <w:r w:rsidRPr="001F20B7">
        <w:rPr>
          <w:b/>
          <w:lang w:val="en"/>
        </w:rPr>
        <w:t>A. Dawson</w:t>
      </w:r>
      <w:r w:rsidRPr="00A60809">
        <w:rPr>
          <w:lang w:val="en"/>
        </w:rPr>
        <w:t xml:space="preserve">, </w:t>
      </w:r>
      <w:r w:rsidRPr="001F20B7">
        <w:rPr>
          <w:b/>
          <w:lang w:val="en"/>
        </w:rPr>
        <w:t>J. Fernandez</w:t>
      </w:r>
      <w:r w:rsidRPr="00A60809">
        <w:rPr>
          <w:lang w:val="en"/>
        </w:rPr>
        <w:t xml:space="preserve">, </w:t>
      </w:r>
      <w:r w:rsidRPr="001F20B7">
        <w:rPr>
          <w:b/>
          <w:lang w:val="en"/>
        </w:rPr>
        <w:t>T. Matosevic</w:t>
      </w:r>
      <w:r w:rsidRPr="00A60809">
        <w:rPr>
          <w:lang w:val="en"/>
        </w:rPr>
        <w:t xml:space="preserve">, </w:t>
      </w:r>
      <w:r w:rsidRPr="001F20B7">
        <w:rPr>
          <w:b/>
          <w:lang w:val="en"/>
        </w:rPr>
        <w:t>D. McDaid</w:t>
      </w:r>
      <w:r w:rsidRPr="00A60809">
        <w:t>, “Long Term Care for Older People and</w:t>
      </w:r>
      <w:r>
        <w:t xml:space="preserve"> EU Law: The Position in England and Scotland”, 2012, 34(1) </w:t>
      </w:r>
      <w:r w:rsidRPr="00A559CD">
        <w:t>Journal of Social Welfare and Family Law</w:t>
      </w:r>
      <w:r>
        <w:t>, 105-124.</w:t>
      </w:r>
    </w:p>
    <w:p w14:paraId="70D17AC5" w14:textId="77777777" w:rsidR="000E6D58" w:rsidRPr="00E51213" w:rsidRDefault="000E6D58">
      <w:pPr>
        <w:pStyle w:val="FootnoteText"/>
      </w:pPr>
    </w:p>
  </w:footnote>
  <w:footnote w:id="9">
    <w:p w14:paraId="1DF51473" w14:textId="5B1E6462" w:rsidR="000E6D58" w:rsidRDefault="000E6D58" w:rsidP="00B9446A">
      <w:pPr>
        <w:pStyle w:val="FootnoteText"/>
      </w:pPr>
      <w:r>
        <w:rPr>
          <w:rStyle w:val="FootnoteReference"/>
        </w:rPr>
        <w:footnoteRef/>
      </w:r>
      <w:r>
        <w:t xml:space="preserve"> European Commission, Commission Staff Working Document, </w:t>
      </w:r>
      <w:r w:rsidRPr="00A559CD">
        <w:rPr>
          <w:i/>
        </w:rPr>
        <w:t xml:space="preserve">Long Term Care in </w:t>
      </w:r>
      <w:r>
        <w:rPr>
          <w:i/>
        </w:rPr>
        <w:t>an A</w:t>
      </w:r>
      <w:r w:rsidRPr="00A559CD">
        <w:rPr>
          <w:i/>
        </w:rPr>
        <w:t xml:space="preserve">geing </w:t>
      </w:r>
      <w:r>
        <w:rPr>
          <w:i/>
        </w:rPr>
        <w:t>S</w:t>
      </w:r>
      <w:r w:rsidRPr="00A559CD">
        <w:rPr>
          <w:i/>
        </w:rPr>
        <w:t>ociety – Challenges and Policy Options</w:t>
      </w:r>
      <w:r>
        <w:t>, SWD (2013) 41 final.</w:t>
      </w:r>
    </w:p>
    <w:p w14:paraId="575D4A34" w14:textId="77777777" w:rsidR="000E6D58" w:rsidRDefault="000E6D58" w:rsidP="00B9446A">
      <w:pPr>
        <w:pStyle w:val="FootnoteText"/>
      </w:pPr>
    </w:p>
  </w:footnote>
  <w:footnote w:id="10">
    <w:p w14:paraId="62D3B7F4" w14:textId="56239AC4" w:rsidR="000E6D58" w:rsidRDefault="000E6D58" w:rsidP="005F6B56">
      <w:pPr>
        <w:pStyle w:val="FootnoteText"/>
      </w:pPr>
      <w:r w:rsidRPr="5F56F976">
        <w:rPr>
          <w:rStyle w:val="FootnoteReference"/>
        </w:rPr>
        <w:footnoteRef/>
      </w:r>
      <w:r>
        <w:t xml:space="preserve"> European </w:t>
      </w:r>
      <w:r w:rsidRPr="00632149">
        <w:t xml:space="preserve">Commission Green Paper </w:t>
      </w:r>
      <w:r w:rsidRPr="00632149">
        <w:rPr>
          <w:i/>
        </w:rPr>
        <w:t xml:space="preserve">Faced with </w:t>
      </w:r>
      <w:r>
        <w:rPr>
          <w:i/>
        </w:rPr>
        <w:t>D</w:t>
      </w:r>
      <w:r w:rsidRPr="00632149">
        <w:rPr>
          <w:i/>
        </w:rPr>
        <w:t xml:space="preserve">emographic change, a </w:t>
      </w:r>
      <w:r>
        <w:rPr>
          <w:i/>
        </w:rPr>
        <w:t>N</w:t>
      </w:r>
      <w:r w:rsidRPr="00632149">
        <w:rPr>
          <w:i/>
        </w:rPr>
        <w:t xml:space="preserve">ew </w:t>
      </w:r>
      <w:r>
        <w:rPr>
          <w:i/>
        </w:rPr>
        <w:t>S</w:t>
      </w:r>
      <w:r w:rsidRPr="00632149">
        <w:rPr>
          <w:i/>
        </w:rPr>
        <w:t xml:space="preserve">olidarity </w:t>
      </w:r>
      <w:r>
        <w:rPr>
          <w:i/>
        </w:rPr>
        <w:t>B</w:t>
      </w:r>
      <w:r w:rsidRPr="00632149">
        <w:rPr>
          <w:i/>
        </w:rPr>
        <w:t>etween the generation</w:t>
      </w:r>
      <w:r>
        <w:t xml:space="preserve"> </w:t>
      </w:r>
      <w:r w:rsidRPr="00632149">
        <w:t>COM(2005) 94</w:t>
      </w:r>
      <w:r>
        <w:t xml:space="preserve">, European Commission, </w:t>
      </w:r>
      <w:r w:rsidRPr="00632149">
        <w:rPr>
          <w:i/>
        </w:rPr>
        <w:t>The 2015 Ageing Report</w:t>
      </w:r>
      <w:r>
        <w:t xml:space="preserve">. </w:t>
      </w:r>
    </w:p>
    <w:p w14:paraId="07E8D4B8" w14:textId="77777777" w:rsidR="000E6D58" w:rsidRDefault="000E6D58" w:rsidP="005F6B56">
      <w:pPr>
        <w:pStyle w:val="FootnoteText"/>
      </w:pPr>
    </w:p>
  </w:footnote>
  <w:footnote w:id="11">
    <w:p w14:paraId="5083AE19" w14:textId="40AF09B0" w:rsidR="000E6D58" w:rsidRPr="00D00A16" w:rsidRDefault="000E6D58" w:rsidP="00786A03">
      <w:pPr>
        <w:pStyle w:val="EndnoteText"/>
        <w:rPr>
          <w:rFonts w:cs="Times New Roman"/>
        </w:rPr>
      </w:pPr>
      <w:r w:rsidRPr="009C49AD">
        <w:rPr>
          <w:rStyle w:val="FootnoteReference"/>
        </w:rPr>
        <w:footnoteRef/>
      </w:r>
      <w:r w:rsidRPr="009C49AD">
        <w:t xml:space="preserve"> </w:t>
      </w:r>
      <w:r w:rsidRPr="009C49AD">
        <w:rPr>
          <w:rFonts w:cs="Times New Roman"/>
        </w:rPr>
        <w:t xml:space="preserve">European Parliament </w:t>
      </w:r>
      <w:r>
        <w:rPr>
          <w:rFonts w:cs="Times New Roman"/>
        </w:rPr>
        <w:t>R</w:t>
      </w:r>
      <w:r w:rsidRPr="009C49AD">
        <w:rPr>
          <w:rFonts w:cs="Times New Roman"/>
        </w:rPr>
        <w:t xml:space="preserve">esolution of 4 July 2013: </w:t>
      </w:r>
      <w:r w:rsidRPr="00B77B31">
        <w:rPr>
          <w:rFonts w:cs="Times New Roman"/>
          <w:i/>
        </w:rPr>
        <w:t xml:space="preserve">Impact of the </w:t>
      </w:r>
      <w:r w:rsidR="00B77B31">
        <w:rPr>
          <w:rFonts w:cs="Times New Roman"/>
          <w:i/>
        </w:rPr>
        <w:t>C</w:t>
      </w:r>
      <w:r w:rsidRPr="00B77B31">
        <w:rPr>
          <w:rFonts w:cs="Times New Roman"/>
          <w:i/>
        </w:rPr>
        <w:t xml:space="preserve">risis on </w:t>
      </w:r>
      <w:r w:rsidR="00B77B31">
        <w:rPr>
          <w:rFonts w:cs="Times New Roman"/>
          <w:i/>
        </w:rPr>
        <w:t>A</w:t>
      </w:r>
      <w:r w:rsidRPr="00B77B31">
        <w:rPr>
          <w:rFonts w:cs="Times New Roman"/>
          <w:i/>
        </w:rPr>
        <w:t xml:space="preserve">ccess to care for </w:t>
      </w:r>
      <w:r w:rsidR="00B77B31">
        <w:rPr>
          <w:rFonts w:cs="Times New Roman"/>
          <w:i/>
        </w:rPr>
        <w:t>V</w:t>
      </w:r>
      <w:r w:rsidRPr="00B77B31">
        <w:rPr>
          <w:rFonts w:cs="Times New Roman"/>
          <w:i/>
        </w:rPr>
        <w:t xml:space="preserve">ulnerable </w:t>
      </w:r>
      <w:r w:rsidR="00B77B31">
        <w:rPr>
          <w:rFonts w:cs="Times New Roman"/>
          <w:i/>
        </w:rPr>
        <w:t>G</w:t>
      </w:r>
      <w:r w:rsidRPr="00B77B31">
        <w:rPr>
          <w:rFonts w:cs="Times New Roman"/>
          <w:i/>
        </w:rPr>
        <w:t>roups</w:t>
      </w:r>
      <w:r w:rsidRPr="009C49AD">
        <w:rPr>
          <w:rFonts w:cs="Times New Roman"/>
        </w:rPr>
        <w:t xml:space="preserve"> (</w:t>
      </w:r>
      <w:hyperlink r:id="rId3" w:history="1">
        <w:r w:rsidRPr="009C49AD">
          <w:rPr>
            <w:rStyle w:val="Hyperlink"/>
            <w:rFonts w:cs="Times New Roman"/>
          </w:rPr>
          <w:t>2013/2044(INI)</w:t>
        </w:r>
      </w:hyperlink>
      <w:r w:rsidR="00666284">
        <w:rPr>
          <w:rFonts w:ascii="Times New Roman" w:hAnsi="Times New Roman" w:cs="Times New Roman"/>
        </w:rPr>
        <w:t>.</w:t>
      </w:r>
      <w:r w:rsidR="00B77B31">
        <w:rPr>
          <w:rFonts w:ascii="Times New Roman" w:hAnsi="Times New Roman" w:cs="Times New Roman"/>
        </w:rPr>
        <w:t xml:space="preserve"> </w:t>
      </w:r>
    </w:p>
    <w:p w14:paraId="7A03313B" w14:textId="77777777" w:rsidR="00D00A16" w:rsidRPr="00D00A16" w:rsidRDefault="00D00A16" w:rsidP="00786A03">
      <w:pPr>
        <w:pStyle w:val="EndnoteText"/>
        <w:rPr>
          <w:rFonts w:cs="Times New Roman"/>
        </w:rPr>
      </w:pPr>
    </w:p>
  </w:footnote>
  <w:footnote w:id="12">
    <w:p w14:paraId="45E73A85" w14:textId="77777777" w:rsidR="000E6D58" w:rsidRDefault="000E6D58" w:rsidP="005F6B56">
      <w:pPr>
        <w:pStyle w:val="FootnoteText"/>
      </w:pPr>
      <w:r>
        <w:rPr>
          <w:rStyle w:val="FootnoteReference"/>
        </w:rPr>
        <w:footnoteRef/>
      </w:r>
      <w:r>
        <w:t xml:space="preserve"> </w:t>
      </w:r>
      <w:r w:rsidRPr="005334D7">
        <w:t xml:space="preserve">European Commission (Staff Working Document), </w:t>
      </w:r>
      <w:r w:rsidRPr="00666284">
        <w:rPr>
          <w:i/>
        </w:rPr>
        <w:t>Long term Care in an Ageing Society – Challenges and Policy Options</w:t>
      </w:r>
      <w:r w:rsidRPr="005334D7">
        <w:t>, Brussels, 20.2.2-13 SWD (2013) 41 final.</w:t>
      </w:r>
      <w:r>
        <w:t xml:space="preserve"> </w:t>
      </w:r>
    </w:p>
    <w:p w14:paraId="0CD405CD" w14:textId="77777777" w:rsidR="000861AE" w:rsidRDefault="000861AE" w:rsidP="000861AE">
      <w:pPr>
        <w:pStyle w:val="FootnoteText"/>
        <w:jc w:val="both"/>
      </w:pPr>
    </w:p>
  </w:footnote>
  <w:footnote w:id="13">
    <w:p w14:paraId="69EA1D1D" w14:textId="575D3D18" w:rsidR="000861AE" w:rsidRPr="000861AE" w:rsidRDefault="000861AE" w:rsidP="000861AE">
      <w:pPr>
        <w:pStyle w:val="FootnoteText"/>
      </w:pPr>
      <w:r w:rsidRPr="000861AE">
        <w:rPr>
          <w:rStyle w:val="FootnoteReference"/>
        </w:rPr>
        <w:footnoteRef/>
      </w:r>
      <w:r w:rsidRPr="000861AE">
        <w:t xml:space="preserve"> Home care is what most </w:t>
      </w:r>
      <w:r w:rsidR="00A41DFC">
        <w:t>elderly</w:t>
      </w:r>
      <w:r w:rsidR="00A41DFC" w:rsidRPr="000861AE">
        <w:t xml:space="preserve"> </w:t>
      </w:r>
      <w:r w:rsidRPr="000861AE">
        <w:t xml:space="preserve">people want. </w:t>
      </w:r>
      <w:r w:rsidR="009F46D9">
        <w:t xml:space="preserve"> </w:t>
      </w:r>
      <w:r w:rsidR="00155DFD">
        <w:t>T</w:t>
      </w:r>
      <w:r w:rsidRPr="000861AE">
        <w:t>he Special Eurobarometer survey of 2007,</w:t>
      </w:r>
      <w:r>
        <w:t xml:space="preserve"> </w:t>
      </w:r>
      <w:r w:rsidRPr="000861AE">
        <w:t xml:space="preserve">asked how they would prefer to be assisted with long-term care if the need arose, 45% of respondents said </w:t>
      </w:r>
      <w:r>
        <w:t>“</w:t>
      </w:r>
      <w:r w:rsidRPr="000861AE">
        <w:t>in my own home by a relative</w:t>
      </w:r>
      <w:r>
        <w:t>”</w:t>
      </w:r>
      <w:r w:rsidRPr="000861AE">
        <w:t xml:space="preserve">, 24% said </w:t>
      </w:r>
      <w:r>
        <w:t>“</w:t>
      </w:r>
      <w:r w:rsidRPr="000861AE">
        <w:t>in my own home by a professional care service</w:t>
      </w:r>
      <w:r>
        <w:t>”</w:t>
      </w:r>
      <w:r w:rsidRPr="000861AE">
        <w:t xml:space="preserve">, 12% said </w:t>
      </w:r>
      <w:r>
        <w:t>“</w:t>
      </w:r>
      <w:r w:rsidRPr="000861AE">
        <w:t>in my own home by a hired carer</w:t>
      </w:r>
      <w:r>
        <w:t>”</w:t>
      </w:r>
      <w:r w:rsidRPr="000861AE">
        <w:t xml:space="preserve"> and 5% said </w:t>
      </w:r>
      <w:r>
        <w:t>“</w:t>
      </w:r>
      <w:r w:rsidRPr="000861AE">
        <w:t>in the home of a close family member</w:t>
      </w:r>
      <w:r>
        <w:t>”</w:t>
      </w:r>
      <w:r w:rsidRPr="000861AE">
        <w:t xml:space="preserve">; in total, 86% chose some form of home care and only 8% said </w:t>
      </w:r>
      <w:r>
        <w:t>“</w:t>
      </w:r>
      <w:r w:rsidRPr="000861AE">
        <w:t>in a nursing home</w:t>
      </w:r>
      <w:r>
        <w:t>”</w:t>
      </w:r>
      <w:r w:rsidRPr="000861AE">
        <w:t xml:space="preserve">; see European Commission (2007) </w:t>
      </w:r>
      <w:r w:rsidRPr="000861AE">
        <w:rPr>
          <w:i/>
        </w:rPr>
        <w:t>Health and Long-Term Care in the European Union</w:t>
      </w:r>
      <w:r w:rsidRPr="000861AE">
        <w:t xml:space="preserve"> (Special Eurobarometer 283), </w:t>
      </w:r>
      <w:hyperlink r:id="rId4" w:history="1">
        <w:r w:rsidRPr="000861AE">
          <w:rPr>
            <w:rStyle w:val="Hyperlink"/>
          </w:rPr>
          <w:t>http://ec.europa.eu/public_opinion/archives/ebs/ebs_283_en.pdf</w:t>
        </w:r>
      </w:hyperlink>
    </w:p>
    <w:p w14:paraId="45EC12F0" w14:textId="77777777" w:rsidR="000861AE" w:rsidRDefault="000861AE">
      <w:pPr>
        <w:pStyle w:val="FootnoteText"/>
      </w:pPr>
    </w:p>
  </w:footnote>
  <w:footnote w:id="14">
    <w:p w14:paraId="647895BD" w14:textId="10B01597" w:rsidR="000E6D58" w:rsidRDefault="000E6D58">
      <w:pPr>
        <w:pStyle w:val="FootnoteText"/>
        <w:rPr>
          <w:rStyle w:val="Hyperlink"/>
          <w:color w:val="auto"/>
        </w:rPr>
      </w:pPr>
      <w:r w:rsidRPr="00A81976">
        <w:rPr>
          <w:rStyle w:val="FootnoteReference"/>
        </w:rPr>
        <w:footnoteRef/>
      </w:r>
      <w:r w:rsidRPr="00A81976">
        <w:t xml:space="preserve"> Not surprisingly a EU survey reports that a high number of elderly people indicated that their prefer home care by a relative; see European Commission (2007) Health and Long Term Care in Europe (Special Eurobar</w:t>
      </w:r>
      <w:r w:rsidR="00D00A16">
        <w:t>o</w:t>
      </w:r>
      <w:r w:rsidRPr="00A81976">
        <w:t xml:space="preserve">meter 283) available at </w:t>
      </w:r>
      <w:hyperlink r:id="rId5" w:history="1">
        <w:r w:rsidRPr="00A81976">
          <w:rPr>
            <w:rStyle w:val="Hyperlink"/>
            <w:color w:val="auto"/>
          </w:rPr>
          <w:t>http://ec.europa.eu/public_opinion/archives/ebs/ebs_283_en.pdf</w:t>
        </w:r>
      </w:hyperlink>
    </w:p>
    <w:p w14:paraId="637F7CB7" w14:textId="77777777" w:rsidR="000E6D58" w:rsidRPr="00A81976" w:rsidRDefault="000E6D58">
      <w:pPr>
        <w:pStyle w:val="FootnoteText"/>
      </w:pPr>
    </w:p>
  </w:footnote>
  <w:footnote w:id="15">
    <w:p w14:paraId="1F27B1CA" w14:textId="1F80FD26" w:rsidR="000E6D58" w:rsidRPr="00A81976" w:rsidRDefault="000E6D58" w:rsidP="00A81976">
      <w:pPr>
        <w:spacing w:after="0" w:line="240" w:lineRule="auto"/>
        <w:jc w:val="both"/>
        <w:rPr>
          <w:rFonts w:cs="Times New Roman"/>
          <w:sz w:val="20"/>
          <w:szCs w:val="20"/>
        </w:rPr>
      </w:pPr>
      <w:r w:rsidRPr="00A81976">
        <w:rPr>
          <w:rStyle w:val="FootnoteReference"/>
          <w:sz w:val="20"/>
          <w:szCs w:val="20"/>
        </w:rPr>
        <w:footnoteRef/>
      </w:r>
      <w:r w:rsidRPr="00A81976">
        <w:rPr>
          <w:sz w:val="20"/>
          <w:szCs w:val="20"/>
        </w:rPr>
        <w:t xml:space="preserve"> See also, </w:t>
      </w:r>
      <w:r w:rsidRPr="00A81976">
        <w:rPr>
          <w:rFonts w:cs="Times New Roman"/>
          <w:sz w:val="20"/>
          <w:szCs w:val="20"/>
        </w:rPr>
        <w:t xml:space="preserve">European Parliament Resolution of 4 July 2013: </w:t>
      </w:r>
      <w:r w:rsidRPr="00A81976">
        <w:rPr>
          <w:rFonts w:cs="Times New Roman"/>
          <w:i/>
          <w:sz w:val="20"/>
          <w:szCs w:val="20"/>
        </w:rPr>
        <w:t>Impact of the crisis on access to care for vulnerable groups</w:t>
      </w:r>
      <w:r w:rsidRPr="00A81976">
        <w:rPr>
          <w:rFonts w:cs="Times New Roman"/>
          <w:sz w:val="20"/>
          <w:szCs w:val="20"/>
        </w:rPr>
        <w:t xml:space="preserve"> (</w:t>
      </w:r>
      <w:hyperlink r:id="rId6" w:history="1">
        <w:r w:rsidRPr="00A81976">
          <w:rPr>
            <w:rStyle w:val="Hyperlink"/>
            <w:rFonts w:cs="Times New Roman"/>
            <w:color w:val="auto"/>
            <w:sz w:val="20"/>
            <w:szCs w:val="20"/>
          </w:rPr>
          <w:t>2013/2044</w:t>
        </w:r>
        <w:r w:rsidR="00B77B31">
          <w:rPr>
            <w:rStyle w:val="Hyperlink"/>
            <w:rFonts w:cs="Times New Roman"/>
            <w:color w:val="auto"/>
            <w:sz w:val="20"/>
            <w:szCs w:val="20"/>
          </w:rPr>
          <w:t xml:space="preserve"> </w:t>
        </w:r>
        <w:r w:rsidRPr="00A81976">
          <w:rPr>
            <w:rStyle w:val="Hyperlink"/>
            <w:rFonts w:cs="Times New Roman"/>
            <w:color w:val="auto"/>
            <w:sz w:val="20"/>
            <w:szCs w:val="20"/>
          </w:rPr>
          <w:t>(INI)</w:t>
        </w:r>
      </w:hyperlink>
      <w:r w:rsidRPr="00A81976">
        <w:rPr>
          <w:rFonts w:cs="Times New Roman"/>
          <w:sz w:val="20"/>
          <w:szCs w:val="20"/>
        </w:rPr>
        <w:t>)</w:t>
      </w:r>
      <w:r w:rsidR="00B77B31">
        <w:rPr>
          <w:rFonts w:cs="Times New Roman"/>
          <w:sz w:val="20"/>
          <w:szCs w:val="20"/>
        </w:rPr>
        <w:t>;</w:t>
      </w:r>
      <w:r w:rsidRPr="00A81976">
        <w:rPr>
          <w:rFonts w:cs="Times New Roman"/>
          <w:sz w:val="20"/>
          <w:szCs w:val="20"/>
        </w:rPr>
        <w:t xml:space="preserve"> </w:t>
      </w:r>
      <w:r w:rsidR="00B77B31">
        <w:rPr>
          <w:rFonts w:cs="Times New Roman"/>
          <w:sz w:val="20"/>
          <w:szCs w:val="20"/>
        </w:rPr>
        <w:t>t</w:t>
      </w:r>
      <w:r w:rsidRPr="00A81976">
        <w:rPr>
          <w:rFonts w:cs="Times New Roman"/>
          <w:sz w:val="20"/>
          <w:szCs w:val="20"/>
        </w:rPr>
        <w:t>he Resolution express</w:t>
      </w:r>
      <w:r w:rsidR="00B77B31">
        <w:rPr>
          <w:rFonts w:cs="Times New Roman"/>
          <w:sz w:val="20"/>
          <w:szCs w:val="20"/>
        </w:rPr>
        <w:t>es</w:t>
      </w:r>
      <w:r w:rsidRPr="00A81976">
        <w:rPr>
          <w:rFonts w:cs="Times New Roman"/>
          <w:sz w:val="20"/>
          <w:szCs w:val="20"/>
        </w:rPr>
        <w:t xml:space="preserve"> concern</w:t>
      </w:r>
      <w:r w:rsidR="00B77B31">
        <w:rPr>
          <w:rFonts w:cs="Times New Roman"/>
          <w:sz w:val="20"/>
          <w:szCs w:val="20"/>
        </w:rPr>
        <w:t>s about</w:t>
      </w:r>
      <w:r w:rsidRPr="00A81976">
        <w:rPr>
          <w:rFonts w:cs="Times New Roman"/>
          <w:sz w:val="20"/>
          <w:szCs w:val="20"/>
        </w:rPr>
        <w:t xml:space="preserve"> the percentage of those giving up work altogether in order to care will increase over the coming years as a result of the increased demand for care and the reductions in state support for care as a result of austerity measures.</w:t>
      </w:r>
    </w:p>
    <w:p w14:paraId="769D87DC" w14:textId="73F77F7E" w:rsidR="000E6D58" w:rsidRDefault="000E6D58">
      <w:pPr>
        <w:pStyle w:val="FootnoteText"/>
      </w:pPr>
    </w:p>
  </w:footnote>
  <w:footnote w:id="16">
    <w:p w14:paraId="21001CC1" w14:textId="653CA97C" w:rsidR="000E6D58" w:rsidRPr="001046A7" w:rsidRDefault="000E6D58" w:rsidP="007A02BB">
      <w:pPr>
        <w:pStyle w:val="EndnoteText"/>
        <w:rPr>
          <w:rFonts w:cs="Times New Roman"/>
        </w:rPr>
      </w:pPr>
      <w:r w:rsidRPr="001046A7">
        <w:rPr>
          <w:rStyle w:val="FootnoteReference"/>
        </w:rPr>
        <w:footnoteRef/>
      </w:r>
      <w:r w:rsidRPr="001046A7">
        <w:t xml:space="preserve"> </w:t>
      </w:r>
      <w:r w:rsidRPr="001046A7">
        <w:rPr>
          <w:rFonts w:cs="Times New Roman"/>
        </w:rPr>
        <w:t>The Council of the European Union, SOC 403; 18 June 2014.</w:t>
      </w:r>
    </w:p>
    <w:p w14:paraId="419F6738" w14:textId="24B41E75" w:rsidR="000E6D58" w:rsidRDefault="000E6D58">
      <w:pPr>
        <w:pStyle w:val="FootnoteText"/>
      </w:pPr>
    </w:p>
  </w:footnote>
  <w:footnote w:id="17">
    <w:p w14:paraId="49182254" w14:textId="36E9EFE3" w:rsidR="000E6D58" w:rsidRPr="00D00A16" w:rsidRDefault="000E6D58">
      <w:pPr>
        <w:pStyle w:val="FootnoteText"/>
      </w:pPr>
      <w:r>
        <w:rPr>
          <w:rStyle w:val="FootnoteReference"/>
        </w:rPr>
        <w:footnoteRef/>
      </w:r>
      <w:r>
        <w:t xml:space="preserve"> See also European Commission (2012) </w:t>
      </w:r>
      <w:r w:rsidRPr="001046A7">
        <w:rPr>
          <w:i/>
        </w:rPr>
        <w:t>Long Term Care for the Elderly: Provisions and Providers in</w:t>
      </w:r>
      <w:r w:rsidR="00155DFD">
        <w:rPr>
          <w:i/>
        </w:rPr>
        <w:t xml:space="preserve"> </w:t>
      </w:r>
      <w:r w:rsidRPr="001046A7">
        <w:rPr>
          <w:i/>
        </w:rPr>
        <w:t>33 Countries</w:t>
      </w:r>
      <w:r w:rsidR="00D00A16">
        <w:t>.</w:t>
      </w:r>
    </w:p>
    <w:p w14:paraId="68F1E28F" w14:textId="77777777" w:rsidR="000E6D58" w:rsidRDefault="000E6D58">
      <w:pPr>
        <w:pStyle w:val="FootnoteText"/>
      </w:pPr>
    </w:p>
  </w:footnote>
  <w:footnote w:id="18">
    <w:p w14:paraId="722EB216" w14:textId="5A1E30FA" w:rsidR="000E6D58" w:rsidRDefault="000E6D58">
      <w:pPr>
        <w:pStyle w:val="FootnoteText"/>
        <w:rPr>
          <w:rFonts w:ascii="AR CENA" w:hAnsi="AR CENA"/>
        </w:rPr>
      </w:pPr>
      <w:r>
        <w:rPr>
          <w:rStyle w:val="FootnoteReference"/>
        </w:rPr>
        <w:footnoteRef/>
      </w:r>
      <w:r>
        <w:t xml:space="preserve"> European Commission (2012) </w:t>
      </w:r>
      <w:r w:rsidRPr="001046A7">
        <w:rPr>
          <w:i/>
        </w:rPr>
        <w:t>Long Term Care for the Elderly: Provisions and Providers in</w:t>
      </w:r>
      <w:r w:rsidR="00700634">
        <w:rPr>
          <w:i/>
        </w:rPr>
        <w:t xml:space="preserve"> </w:t>
      </w:r>
      <w:r w:rsidRPr="001046A7">
        <w:rPr>
          <w:i/>
        </w:rPr>
        <w:t>33 Countries</w:t>
      </w:r>
      <w:r w:rsidR="00D00A16">
        <w:t>.</w:t>
      </w:r>
    </w:p>
    <w:p w14:paraId="028CA711" w14:textId="77777777" w:rsidR="000E6D58" w:rsidRDefault="000E6D58">
      <w:pPr>
        <w:pStyle w:val="FootnoteText"/>
      </w:pPr>
    </w:p>
  </w:footnote>
  <w:footnote w:id="19">
    <w:p w14:paraId="01FADF36" w14:textId="2175F567" w:rsidR="000E6D58" w:rsidRDefault="000E6D58">
      <w:pPr>
        <w:pStyle w:val="FootnoteText"/>
      </w:pPr>
      <w:r>
        <w:rPr>
          <w:rStyle w:val="FootnoteReference"/>
        </w:rPr>
        <w:footnoteRef/>
      </w:r>
      <w:r>
        <w:t xml:space="preserve"> </w:t>
      </w:r>
      <w:r w:rsidRPr="006F24F2">
        <w:rPr>
          <w:b/>
        </w:rPr>
        <w:t>J. Gaymu</w:t>
      </w:r>
      <w:r w:rsidRPr="006F24F2">
        <w:t xml:space="preserve">, </w:t>
      </w:r>
      <w:r w:rsidRPr="006F24F2">
        <w:rPr>
          <w:b/>
        </w:rPr>
        <w:t>P. Ekamper</w:t>
      </w:r>
      <w:r w:rsidRPr="006F24F2">
        <w:t xml:space="preserve">, </w:t>
      </w:r>
      <w:r>
        <w:t xml:space="preserve">and </w:t>
      </w:r>
      <w:r w:rsidRPr="006F24F2">
        <w:rPr>
          <w:b/>
        </w:rPr>
        <w:t>G. Beets</w:t>
      </w:r>
      <w:r>
        <w:t>, “</w:t>
      </w:r>
      <w:r w:rsidRPr="006F24F2">
        <w:t>Who will be caring for Europe's dependent elders in 2030?</w:t>
      </w:r>
      <w:r>
        <w:t xml:space="preserve">”, 2007 </w:t>
      </w:r>
      <w:r w:rsidRPr="00FE32C0">
        <w:rPr>
          <w:iCs/>
        </w:rPr>
        <w:t>Population</w:t>
      </w:r>
      <w:r w:rsidRPr="006F24F2">
        <w:rPr>
          <w:i/>
          <w:iCs/>
        </w:rPr>
        <w:t xml:space="preserve">, </w:t>
      </w:r>
      <w:r w:rsidRPr="006F24F2">
        <w:rPr>
          <w:i/>
        </w:rPr>
        <w:t>62,</w:t>
      </w:r>
      <w:r w:rsidRPr="006F24F2">
        <w:t xml:space="preserve"> (4) 675‐</w:t>
      </w:r>
      <w:r>
        <w:t xml:space="preserve">706;  </w:t>
      </w:r>
      <w:r w:rsidRPr="00FE32C0">
        <w:rPr>
          <w:b/>
        </w:rPr>
        <w:t>L. Pickard</w:t>
      </w:r>
      <w:r w:rsidRPr="00FE32C0">
        <w:t xml:space="preserve">, </w:t>
      </w:r>
      <w:r>
        <w:t>“</w:t>
      </w:r>
      <w:r w:rsidRPr="00FE32C0">
        <w:t xml:space="preserve">A growing care gap? The supply of unpaid care for older people by their adult children in England to 2032”, </w:t>
      </w:r>
      <w:r>
        <w:t xml:space="preserve">2015 </w:t>
      </w:r>
      <w:r w:rsidRPr="00FE32C0">
        <w:t xml:space="preserve">Ageing and Society, 35,(1) 96-123 </w:t>
      </w:r>
      <w:r>
        <w:t xml:space="preserve">and European Commission </w:t>
      </w:r>
      <w:r w:rsidRPr="00FE32C0">
        <w:t xml:space="preserve">(2011) </w:t>
      </w:r>
      <w:r w:rsidRPr="00FE32C0">
        <w:rPr>
          <w:i/>
        </w:rPr>
        <w:t xml:space="preserve">Commission </w:t>
      </w:r>
      <w:r>
        <w:rPr>
          <w:i/>
        </w:rPr>
        <w:t>P</w:t>
      </w:r>
      <w:r w:rsidRPr="00FE32C0">
        <w:rPr>
          <w:i/>
        </w:rPr>
        <w:t xml:space="preserve">roposal for a </w:t>
      </w:r>
      <w:r>
        <w:rPr>
          <w:i/>
        </w:rPr>
        <w:t>H</w:t>
      </w:r>
      <w:r w:rsidRPr="00FE32C0">
        <w:rPr>
          <w:i/>
        </w:rPr>
        <w:t xml:space="preserve">ealth for </w:t>
      </w:r>
      <w:r>
        <w:rPr>
          <w:i/>
        </w:rPr>
        <w:t>G</w:t>
      </w:r>
      <w:r w:rsidRPr="00FE32C0">
        <w:rPr>
          <w:i/>
        </w:rPr>
        <w:t xml:space="preserve">rowth </w:t>
      </w:r>
      <w:r>
        <w:rPr>
          <w:i/>
        </w:rPr>
        <w:t>S</w:t>
      </w:r>
      <w:r w:rsidRPr="00FE32C0">
        <w:rPr>
          <w:i/>
        </w:rPr>
        <w:t>trategy 2014 – 2020</w:t>
      </w:r>
      <w:r>
        <w:t>.</w:t>
      </w:r>
    </w:p>
    <w:p w14:paraId="13CC58C3" w14:textId="77777777" w:rsidR="000E6D58" w:rsidRPr="001046A7" w:rsidRDefault="000E6D58">
      <w:pPr>
        <w:pStyle w:val="FootnoteText"/>
        <w:rPr>
          <w:rFonts w:ascii="AR CENA" w:hAnsi="AR CENA"/>
        </w:rPr>
      </w:pPr>
    </w:p>
  </w:footnote>
  <w:footnote w:id="20">
    <w:p w14:paraId="6C720345" w14:textId="1DFA619A" w:rsidR="000E6D58" w:rsidRDefault="000E6D58" w:rsidP="00FE32C0">
      <w:pPr>
        <w:pStyle w:val="FootnoteText"/>
        <w:rPr>
          <w:i/>
        </w:rPr>
      </w:pPr>
      <w:r>
        <w:rPr>
          <w:rStyle w:val="FootnoteReference"/>
        </w:rPr>
        <w:footnoteRef/>
      </w:r>
      <w:r>
        <w:t xml:space="preserve"> </w:t>
      </w:r>
      <w:r w:rsidRPr="00FE32C0">
        <w:t xml:space="preserve">European Commission (2011) </w:t>
      </w:r>
      <w:r w:rsidRPr="00FE32C0">
        <w:rPr>
          <w:i/>
        </w:rPr>
        <w:t xml:space="preserve">Commission </w:t>
      </w:r>
      <w:r>
        <w:rPr>
          <w:i/>
        </w:rPr>
        <w:t>P</w:t>
      </w:r>
      <w:r w:rsidRPr="00FE32C0">
        <w:rPr>
          <w:i/>
        </w:rPr>
        <w:t xml:space="preserve">roposal for a </w:t>
      </w:r>
      <w:r>
        <w:rPr>
          <w:i/>
        </w:rPr>
        <w:t>H</w:t>
      </w:r>
      <w:r w:rsidRPr="00FE32C0">
        <w:rPr>
          <w:i/>
        </w:rPr>
        <w:t xml:space="preserve">ealth for </w:t>
      </w:r>
      <w:r>
        <w:rPr>
          <w:i/>
        </w:rPr>
        <w:t>G</w:t>
      </w:r>
      <w:r w:rsidRPr="00FE32C0">
        <w:rPr>
          <w:i/>
        </w:rPr>
        <w:t xml:space="preserve">rowth </w:t>
      </w:r>
      <w:r>
        <w:rPr>
          <w:i/>
        </w:rPr>
        <w:t>S</w:t>
      </w:r>
      <w:r w:rsidRPr="00FE32C0">
        <w:rPr>
          <w:i/>
        </w:rPr>
        <w:t>trategy 2014 – 2020</w:t>
      </w:r>
      <w:r w:rsidR="00D00A16">
        <w:rPr>
          <w:i/>
        </w:rPr>
        <w:t>.</w:t>
      </w:r>
    </w:p>
    <w:p w14:paraId="19FD1AD0" w14:textId="77777777" w:rsidR="00D00A16" w:rsidRPr="00D00A16" w:rsidRDefault="00D00A16" w:rsidP="00FE32C0">
      <w:pPr>
        <w:pStyle w:val="FootnoteText"/>
        <w:rPr>
          <w:rFonts w:ascii="AR CENA" w:hAnsi="AR CENA"/>
        </w:rPr>
      </w:pPr>
    </w:p>
  </w:footnote>
  <w:footnote w:id="21">
    <w:p w14:paraId="295DCD62" w14:textId="7C573EB0" w:rsidR="000E6D58" w:rsidRDefault="000E6D58">
      <w:pPr>
        <w:pStyle w:val="FootnoteText"/>
      </w:pPr>
      <w:r>
        <w:rPr>
          <w:rStyle w:val="FootnoteReference"/>
        </w:rPr>
        <w:footnoteRef/>
      </w:r>
      <w:r>
        <w:t xml:space="preserve"> See also </w:t>
      </w:r>
      <w:r w:rsidRPr="00EF58BE">
        <w:rPr>
          <w:b/>
        </w:rPr>
        <w:t>R. Horton</w:t>
      </w:r>
      <w:r>
        <w:t>, “Work Life Balance a</w:t>
      </w:r>
      <w:r w:rsidR="00D00A16">
        <w:t>nd the Challenge of Eldercare”, 2015,</w:t>
      </w:r>
      <w:r>
        <w:t xml:space="preserve"> Journal of Social Welfare and Family Law (forthcoming).</w:t>
      </w:r>
    </w:p>
    <w:p w14:paraId="0FD168C9" w14:textId="37E980EE" w:rsidR="000E6D58" w:rsidRDefault="000E6D58">
      <w:pPr>
        <w:pStyle w:val="FootnoteText"/>
      </w:pPr>
    </w:p>
  </w:footnote>
  <w:footnote w:id="22">
    <w:p w14:paraId="5B1FE1BB" w14:textId="251B03AD" w:rsidR="000E6D58" w:rsidRDefault="000E6D58" w:rsidP="007C6E5C">
      <w:pPr>
        <w:pStyle w:val="FootnoteText"/>
        <w:jc w:val="both"/>
        <w:rPr>
          <w:rFonts w:ascii="Calibri" w:eastAsia="Times New Roman" w:hAnsi="Calibri" w:cs="Arial"/>
          <w:bCs/>
          <w:kern w:val="32"/>
          <w:lang w:eastAsia="en-GB"/>
        </w:rPr>
      </w:pPr>
      <w:r>
        <w:rPr>
          <w:rStyle w:val="FootnoteReference"/>
        </w:rPr>
        <w:footnoteRef/>
      </w:r>
      <w:r>
        <w:t xml:space="preserve"> </w:t>
      </w:r>
      <w:r>
        <w:rPr>
          <w:rFonts w:ascii="Calibri" w:eastAsia="Times New Roman" w:hAnsi="Calibri" w:cs="Arial"/>
          <w:bCs/>
          <w:kern w:val="32"/>
          <w:lang w:eastAsia="en-GB"/>
        </w:rPr>
        <w:t>E.g</w:t>
      </w:r>
      <w:r w:rsidRPr="00E51213">
        <w:rPr>
          <w:rFonts w:ascii="Calibri" w:eastAsia="Times New Roman" w:hAnsi="Calibri" w:cs="Arial"/>
          <w:bCs/>
          <w:kern w:val="32"/>
          <w:lang w:eastAsia="en-GB"/>
        </w:rPr>
        <w:t>.</w:t>
      </w:r>
      <w:r>
        <w:rPr>
          <w:rFonts w:ascii="Calibri" w:eastAsia="Times New Roman" w:hAnsi="Calibri" w:cs="Arial"/>
          <w:bCs/>
          <w:kern w:val="32"/>
          <w:lang w:eastAsia="en-GB"/>
        </w:rPr>
        <w:t>,</w:t>
      </w:r>
      <w:r w:rsidRPr="00E51213">
        <w:rPr>
          <w:rFonts w:ascii="Calibri" w:eastAsia="Times New Roman" w:hAnsi="Calibri" w:cs="Arial"/>
          <w:bCs/>
          <w:kern w:val="32"/>
          <w:lang w:eastAsia="en-GB"/>
        </w:rPr>
        <w:t xml:space="preserve"> </w:t>
      </w:r>
      <w:r w:rsidRPr="008F13D8">
        <w:rPr>
          <w:rFonts w:ascii="Calibri" w:eastAsia="Times New Roman" w:hAnsi="Calibri" w:cs="Arial"/>
          <w:b/>
          <w:bCs/>
          <w:kern w:val="32"/>
          <w:lang w:eastAsia="en-GB"/>
        </w:rPr>
        <w:t>I. Carpenter</w:t>
      </w:r>
      <w:r w:rsidRPr="00E51213">
        <w:rPr>
          <w:rFonts w:ascii="Calibri" w:eastAsia="Times New Roman" w:hAnsi="Calibri" w:cs="Arial"/>
          <w:bCs/>
          <w:kern w:val="32"/>
          <w:lang w:eastAsia="en-GB"/>
        </w:rPr>
        <w:t xml:space="preserve">, </w:t>
      </w:r>
      <w:r w:rsidRPr="008F13D8">
        <w:rPr>
          <w:rFonts w:ascii="Calibri" w:eastAsia="Times New Roman" w:hAnsi="Calibri" w:cs="Arial"/>
          <w:b/>
          <w:bCs/>
          <w:kern w:val="32"/>
          <w:lang w:eastAsia="en-GB"/>
        </w:rPr>
        <w:t>J. Hirdes</w:t>
      </w:r>
      <w:r w:rsidRPr="00E51213">
        <w:rPr>
          <w:rFonts w:ascii="Calibri" w:eastAsia="Times New Roman" w:hAnsi="Calibri" w:cs="Arial"/>
          <w:bCs/>
          <w:kern w:val="32"/>
          <w:lang w:eastAsia="en-GB"/>
        </w:rPr>
        <w:t xml:space="preserve">, </w:t>
      </w:r>
      <w:r w:rsidRPr="008F13D8">
        <w:rPr>
          <w:rFonts w:ascii="Calibri" w:eastAsia="Times New Roman" w:hAnsi="Calibri" w:cs="Arial"/>
          <w:b/>
          <w:bCs/>
          <w:kern w:val="32"/>
          <w:lang w:eastAsia="en-GB"/>
        </w:rPr>
        <w:t>N. Ikegami</w:t>
      </w:r>
      <w:r>
        <w:rPr>
          <w:rFonts w:ascii="Calibri" w:eastAsia="Times New Roman" w:hAnsi="Calibri" w:cs="Arial"/>
          <w:bCs/>
          <w:kern w:val="32"/>
          <w:lang w:eastAsia="en-GB"/>
        </w:rPr>
        <w:t xml:space="preserve">, </w:t>
      </w:r>
      <w:r w:rsidRPr="00E51213">
        <w:rPr>
          <w:rFonts w:ascii="Calibri" w:eastAsia="Times New Roman" w:hAnsi="Calibri" w:cs="Arial"/>
          <w:bCs/>
          <w:kern w:val="32"/>
          <w:lang w:eastAsia="en-GB"/>
        </w:rPr>
        <w:t xml:space="preserve">(2007), </w:t>
      </w:r>
      <w:r>
        <w:rPr>
          <w:rFonts w:ascii="Calibri" w:eastAsia="Times New Roman" w:hAnsi="Calibri" w:cs="Arial"/>
          <w:bCs/>
          <w:kern w:val="32"/>
          <w:lang w:eastAsia="en-GB"/>
        </w:rPr>
        <w:t>“</w:t>
      </w:r>
      <w:r w:rsidRPr="00E51213">
        <w:rPr>
          <w:rFonts w:ascii="Calibri" w:eastAsia="Times New Roman" w:hAnsi="Calibri" w:cs="Arial"/>
          <w:bCs/>
          <w:kern w:val="32"/>
          <w:lang w:eastAsia="en-GB"/>
        </w:rPr>
        <w:t>Long-Term Care: A Complex Challenge</w:t>
      </w:r>
      <w:r>
        <w:rPr>
          <w:rFonts w:ascii="Calibri" w:eastAsia="Times New Roman" w:hAnsi="Calibri" w:cs="Arial"/>
          <w:bCs/>
          <w:kern w:val="32"/>
          <w:lang w:eastAsia="en-GB"/>
        </w:rPr>
        <w:t>”,</w:t>
      </w:r>
      <w:r w:rsidRPr="00E51213">
        <w:rPr>
          <w:rFonts w:ascii="Calibri" w:eastAsia="Times New Roman" w:hAnsi="Calibri" w:cs="Arial"/>
          <w:bCs/>
          <w:kern w:val="32"/>
          <w:lang w:eastAsia="en-GB"/>
        </w:rPr>
        <w:t xml:space="preserve"> OECD Observer, 27</w:t>
      </w:r>
      <w:r>
        <w:rPr>
          <w:rFonts w:ascii="Calibri" w:eastAsia="Times New Roman" w:hAnsi="Calibri" w:cs="Arial"/>
          <w:bCs/>
          <w:kern w:val="32"/>
          <w:lang w:eastAsia="en-GB"/>
        </w:rPr>
        <w:t>.</w:t>
      </w:r>
      <w:r w:rsidR="007C6E5C">
        <w:rPr>
          <w:rFonts w:ascii="Calibri" w:eastAsia="Times New Roman" w:hAnsi="Calibri" w:cs="Arial"/>
          <w:bCs/>
          <w:kern w:val="32"/>
          <w:lang w:eastAsia="en-GB"/>
        </w:rPr>
        <w:t xml:space="preserve">  See also </w:t>
      </w:r>
      <w:r w:rsidR="007C6E5C" w:rsidRPr="007C6E5C">
        <w:rPr>
          <w:rFonts w:ascii="Calibri" w:eastAsia="Times New Roman" w:hAnsi="Calibri" w:cs="Arial"/>
          <w:bCs/>
          <w:kern w:val="32"/>
          <w:lang w:eastAsia="en-GB"/>
        </w:rPr>
        <w:t>Herring</w:t>
      </w:r>
      <w:r w:rsidR="007C6E5C">
        <w:rPr>
          <w:rFonts w:ascii="Calibri" w:eastAsia="Times New Roman" w:hAnsi="Calibri" w:cs="Arial"/>
          <w:bCs/>
          <w:kern w:val="32"/>
          <w:lang w:eastAsia="en-GB"/>
        </w:rPr>
        <w:t xml:space="preserve"> </w:t>
      </w:r>
      <w:r w:rsidR="007C6E5C" w:rsidRPr="007C6E5C">
        <w:rPr>
          <w:rFonts w:ascii="Calibri" w:eastAsia="Times New Roman" w:hAnsi="Calibri" w:cs="Arial"/>
          <w:bCs/>
          <w:kern w:val="32"/>
          <w:lang w:eastAsia="en-GB"/>
        </w:rPr>
        <w:t>who argues that it is a recognition of the caring relationship and mutual vulnerability of the parties, rather than the separate rights and interests of each, that should underpin  legal and policy approaches to care</w:t>
      </w:r>
      <w:r w:rsidR="007C6E5C">
        <w:rPr>
          <w:rFonts w:ascii="Calibri" w:eastAsia="Times New Roman" w:hAnsi="Calibri" w:cs="Arial"/>
          <w:bCs/>
          <w:kern w:val="32"/>
          <w:lang w:eastAsia="en-GB"/>
        </w:rPr>
        <w:t xml:space="preserve">, </w:t>
      </w:r>
      <w:r w:rsidR="007C6E5C" w:rsidRPr="007C6E5C">
        <w:rPr>
          <w:rFonts w:ascii="Calibri" w:eastAsia="Times New Roman" w:hAnsi="Calibri" w:cs="Arial"/>
          <w:b/>
          <w:bCs/>
          <w:kern w:val="32"/>
          <w:lang w:eastAsia="en-GB"/>
        </w:rPr>
        <w:t>J. Herring</w:t>
      </w:r>
      <w:r w:rsidR="007C6E5C">
        <w:rPr>
          <w:rFonts w:ascii="Calibri" w:eastAsia="Times New Roman" w:hAnsi="Calibri" w:cs="Arial"/>
          <w:bCs/>
          <w:kern w:val="32"/>
          <w:lang w:eastAsia="en-GB"/>
        </w:rPr>
        <w:t xml:space="preserve">, Caring and the Law (Hart, 2013). </w:t>
      </w:r>
    </w:p>
    <w:p w14:paraId="5AE3CC96" w14:textId="77777777" w:rsidR="000E6D58" w:rsidRDefault="000E6D58">
      <w:pPr>
        <w:pStyle w:val="FootnoteText"/>
      </w:pPr>
    </w:p>
  </w:footnote>
  <w:footnote w:id="23">
    <w:p w14:paraId="0B84E82A" w14:textId="014B8745" w:rsidR="00155DFD" w:rsidRPr="00397F7D" w:rsidRDefault="00155DFD">
      <w:pPr>
        <w:pStyle w:val="FootnoteText"/>
      </w:pPr>
      <w:r w:rsidRPr="00397F7D">
        <w:rPr>
          <w:rStyle w:val="FootnoteReference"/>
        </w:rPr>
        <w:footnoteRef/>
      </w:r>
      <w:r w:rsidRPr="00397F7D">
        <w:t xml:space="preserve"> </w:t>
      </w:r>
      <w:r w:rsidR="009F46D9" w:rsidRPr="00397F7D">
        <w:t xml:space="preserve">See the Case C-303/06, </w:t>
      </w:r>
      <w:r w:rsidR="009F46D9" w:rsidRPr="00397F7D">
        <w:rPr>
          <w:i/>
        </w:rPr>
        <w:t>Coleman v Attridge Law and Steve Law</w:t>
      </w:r>
      <w:r w:rsidR="009F46D9" w:rsidRPr="00397F7D">
        <w:t xml:space="preserve">, </w:t>
      </w:r>
      <w:r w:rsidR="00397F7D" w:rsidRPr="00397F7D">
        <w:rPr>
          <w:rFonts w:cs="Times New Roman"/>
        </w:rPr>
        <w:t xml:space="preserve">[2009] ECR I-5603, </w:t>
      </w:r>
      <w:r w:rsidR="009F46D9" w:rsidRPr="00397F7D">
        <w:t xml:space="preserve">but compare with </w:t>
      </w:r>
      <w:r w:rsidR="009F46D9" w:rsidRPr="00397F7D">
        <w:rPr>
          <w:i/>
        </w:rPr>
        <w:t>Kulikaoskas</w:t>
      </w:r>
      <w:r w:rsidR="009F46D9" w:rsidRPr="00397F7D">
        <w:t xml:space="preserve"> v </w:t>
      </w:r>
      <w:r w:rsidR="009F46D9" w:rsidRPr="00397F7D">
        <w:rPr>
          <w:i/>
        </w:rPr>
        <w:t>Macduff Shellfish</w:t>
      </w:r>
      <w:r w:rsidR="009F46D9" w:rsidRPr="00397F7D">
        <w:t xml:space="preserve">, UKEATS/62/09 [2011] ICT 48 and </w:t>
      </w:r>
      <w:r w:rsidR="009F46D9" w:rsidRPr="00397F7D">
        <w:rPr>
          <w:i/>
          <w:lang w:val="en"/>
        </w:rPr>
        <w:t>Hainsworth v Ministry of Defence</w:t>
      </w:r>
      <w:r w:rsidR="009F46D9" w:rsidRPr="00397F7D">
        <w:rPr>
          <w:lang w:val="en"/>
        </w:rPr>
        <w:t xml:space="preserve"> UKEATPA/0227/13/GE.</w:t>
      </w:r>
    </w:p>
  </w:footnote>
  <w:footnote w:id="24">
    <w:p w14:paraId="4CCDF22F" w14:textId="1865371E" w:rsidR="000E6D58" w:rsidRDefault="000E6D58" w:rsidP="00385852">
      <w:pPr>
        <w:pStyle w:val="FootnoteText"/>
      </w:pPr>
      <w:r w:rsidRPr="008F13D8">
        <w:rPr>
          <w:rStyle w:val="FootnoteReference"/>
        </w:rPr>
        <w:footnoteRef/>
      </w:r>
      <w:r w:rsidRPr="008F13D8">
        <w:t xml:space="preserve"> In Italy, for example, it is estimated that three quarters of all carers are (often undeclared) migrant, see </w:t>
      </w:r>
      <w:r w:rsidRPr="008F13D8">
        <w:rPr>
          <w:b/>
          <w:lang w:val="en"/>
        </w:rPr>
        <w:t>M.</w:t>
      </w:r>
      <w:r w:rsidRPr="008F13D8">
        <w:rPr>
          <w:lang w:val="en"/>
        </w:rPr>
        <w:t xml:space="preserve"> </w:t>
      </w:r>
      <w:r w:rsidRPr="008F13D8">
        <w:rPr>
          <w:b/>
          <w:lang w:val="en"/>
        </w:rPr>
        <w:t>Di Rosa</w:t>
      </w:r>
      <w:r w:rsidRPr="008F13D8">
        <w:rPr>
          <w:lang w:val="en"/>
        </w:rPr>
        <w:t xml:space="preserve">, </w:t>
      </w:r>
      <w:r w:rsidRPr="008F13D8">
        <w:rPr>
          <w:b/>
          <w:lang w:val="en"/>
        </w:rPr>
        <w:t>M. Melchiorre</w:t>
      </w:r>
      <w:r w:rsidRPr="008F13D8">
        <w:rPr>
          <w:lang w:val="en"/>
        </w:rPr>
        <w:t xml:space="preserve">, </w:t>
      </w:r>
      <w:r w:rsidRPr="008F13D8">
        <w:rPr>
          <w:b/>
          <w:lang w:val="en"/>
        </w:rPr>
        <w:t>M. Lucchetti</w:t>
      </w:r>
      <w:r w:rsidRPr="008F13D8">
        <w:rPr>
          <w:lang w:val="en"/>
        </w:rPr>
        <w:t xml:space="preserve"> and </w:t>
      </w:r>
      <w:r w:rsidRPr="008F13D8">
        <w:rPr>
          <w:b/>
          <w:lang w:val="en"/>
        </w:rPr>
        <w:t>G.</w:t>
      </w:r>
      <w:r w:rsidRPr="008F13D8">
        <w:rPr>
          <w:lang w:val="en"/>
        </w:rPr>
        <w:t xml:space="preserve"> </w:t>
      </w:r>
      <w:r w:rsidRPr="008F13D8">
        <w:rPr>
          <w:b/>
          <w:lang w:val="en"/>
        </w:rPr>
        <w:t>Lamura</w:t>
      </w:r>
      <w:r w:rsidRPr="008F13D8">
        <w:t>, “</w:t>
      </w:r>
      <w:r w:rsidRPr="008F13D8">
        <w:rPr>
          <w:lang w:val="en"/>
        </w:rPr>
        <w:t>The Impact of Migrant Work in the Elder Care Sector: Recent Trends and Empirical Evidence in Italy</w:t>
      </w:r>
      <w:r w:rsidRPr="008F13D8">
        <w:t xml:space="preserve">”, 2012, European Journal of Social Care, 9-27.  More generally see also OECD, (2013), </w:t>
      </w:r>
      <w:r w:rsidRPr="008F13D8">
        <w:rPr>
          <w:i/>
        </w:rPr>
        <w:t>Health at a Glance 2013: OECD Indicators</w:t>
      </w:r>
      <w:r w:rsidRPr="008F13D8">
        <w:t>, (OECD Publishing).</w:t>
      </w:r>
    </w:p>
    <w:p w14:paraId="496C4E67" w14:textId="77777777" w:rsidR="000E6D58" w:rsidRDefault="000E6D58" w:rsidP="00385852">
      <w:pPr>
        <w:pStyle w:val="FootnoteText"/>
      </w:pPr>
    </w:p>
  </w:footnote>
  <w:footnote w:id="25">
    <w:p w14:paraId="39745D52" w14:textId="3A0D6E2D" w:rsidR="00386217" w:rsidRPr="00386217" w:rsidRDefault="00386217" w:rsidP="00386217">
      <w:pPr>
        <w:pStyle w:val="FootnoteText"/>
      </w:pPr>
      <w:r>
        <w:rPr>
          <w:rStyle w:val="FootnoteReference"/>
        </w:rPr>
        <w:footnoteRef/>
      </w:r>
      <w:r>
        <w:t xml:space="preserve"> </w:t>
      </w:r>
      <w:r w:rsidRPr="00386217">
        <w:rPr>
          <w:b/>
        </w:rPr>
        <w:t>W. Loretto</w:t>
      </w:r>
      <w:r w:rsidRPr="00386217">
        <w:t xml:space="preserve">, </w:t>
      </w:r>
      <w:r w:rsidRPr="00386217">
        <w:rPr>
          <w:b/>
        </w:rPr>
        <w:t>S. Vickerstaff</w:t>
      </w:r>
      <w:r w:rsidRPr="00386217">
        <w:t xml:space="preserve">, </w:t>
      </w:r>
      <w:r w:rsidRPr="00386217">
        <w:rPr>
          <w:b/>
        </w:rPr>
        <w:t>P. White</w:t>
      </w:r>
      <w:r w:rsidRPr="00386217">
        <w:t xml:space="preserve">, </w:t>
      </w:r>
      <w:r>
        <w:rPr>
          <w:i/>
        </w:rPr>
        <w:t xml:space="preserve">The Future for Older Workers: </w:t>
      </w:r>
      <w:r w:rsidRPr="00386217">
        <w:rPr>
          <w:i/>
        </w:rPr>
        <w:t>New perspectives</w:t>
      </w:r>
      <w:r w:rsidRPr="00386217">
        <w:t xml:space="preserve"> (Policy Press, 2007).</w:t>
      </w:r>
    </w:p>
    <w:p w14:paraId="0A668235" w14:textId="77777777" w:rsidR="00386217" w:rsidRDefault="00386217">
      <w:pPr>
        <w:pStyle w:val="FootnoteText"/>
      </w:pPr>
    </w:p>
  </w:footnote>
  <w:footnote w:id="26">
    <w:p w14:paraId="735497B4" w14:textId="1FBA1750" w:rsidR="000E6D58" w:rsidRDefault="000E6D58" w:rsidP="00823DE4">
      <w:pPr>
        <w:pStyle w:val="FootnoteText"/>
      </w:pPr>
      <w:r w:rsidRPr="00E51213">
        <w:rPr>
          <w:rStyle w:val="FootnoteReference"/>
        </w:rPr>
        <w:footnoteRef/>
      </w:r>
      <w:r w:rsidRPr="00E51213">
        <w:t xml:space="preserve"> </w:t>
      </w:r>
      <w:r w:rsidRPr="00E51213">
        <w:rPr>
          <w:b/>
        </w:rPr>
        <w:t>A. Gregory</w:t>
      </w:r>
      <w:r w:rsidRPr="00E51213">
        <w:t xml:space="preserve">, </w:t>
      </w:r>
      <w:r w:rsidRPr="00E51213">
        <w:rPr>
          <w:b/>
        </w:rPr>
        <w:t>S. Milner</w:t>
      </w:r>
      <w:r w:rsidRPr="00E51213">
        <w:t xml:space="preserve">, </w:t>
      </w:r>
      <w:r w:rsidRPr="00E51213">
        <w:rPr>
          <w:b/>
        </w:rPr>
        <w:t>J. Windebank</w:t>
      </w:r>
      <w:r>
        <w:t>, 2013</w:t>
      </w:r>
      <w:r w:rsidRPr="00E51213">
        <w:t>, “Work-Life Balance in times of Economic Crisis and Austerity”</w:t>
      </w:r>
      <w:r>
        <w:t xml:space="preserve">, 2013, </w:t>
      </w:r>
      <w:r w:rsidRPr="00E51213">
        <w:t xml:space="preserve">33 International Journal of Sociology and Social Policy, 528-541. </w:t>
      </w:r>
    </w:p>
    <w:p w14:paraId="5B08AE77" w14:textId="77777777" w:rsidR="000E6D58" w:rsidRPr="00E51213" w:rsidRDefault="000E6D58" w:rsidP="00823DE4">
      <w:pPr>
        <w:pStyle w:val="FootnoteText"/>
      </w:pPr>
    </w:p>
  </w:footnote>
  <w:footnote w:id="27">
    <w:p w14:paraId="0F4CBBF2" w14:textId="03D1F8AC" w:rsidR="000E6D58" w:rsidRDefault="000E6D58" w:rsidP="00823DE4">
      <w:pPr>
        <w:pStyle w:val="FootnoteText"/>
      </w:pPr>
      <w:r w:rsidRPr="008F13D8">
        <w:rPr>
          <w:rStyle w:val="FootnoteReference"/>
        </w:rPr>
        <w:footnoteRef/>
      </w:r>
      <w:r w:rsidRPr="008F13D8">
        <w:t xml:space="preserve"> See the work of </w:t>
      </w:r>
      <w:r w:rsidRPr="008F13D8">
        <w:rPr>
          <w:b/>
        </w:rPr>
        <w:t>N. Busby</w:t>
      </w:r>
      <w:r w:rsidRPr="008F13D8">
        <w:t xml:space="preserve">, “Only a Matter of Time”, 2001, 64 </w:t>
      </w:r>
      <w:r w:rsidRPr="008F13D8">
        <w:rPr>
          <w:i/>
        </w:rPr>
        <w:t>Modern Law Review</w:t>
      </w:r>
      <w:r w:rsidRPr="008F13D8">
        <w:t>, 489.</w:t>
      </w:r>
      <w:r w:rsidRPr="00E51213">
        <w:t xml:space="preserve"> </w:t>
      </w:r>
    </w:p>
    <w:p w14:paraId="7719FE64" w14:textId="77777777" w:rsidR="000E6D58" w:rsidRPr="00E51213" w:rsidRDefault="000E6D58" w:rsidP="00823DE4">
      <w:pPr>
        <w:pStyle w:val="FootnoteText"/>
      </w:pPr>
    </w:p>
  </w:footnote>
  <w:footnote w:id="28">
    <w:p w14:paraId="0DD2E798" w14:textId="77777777" w:rsidR="000E6D58" w:rsidRPr="00E51213" w:rsidRDefault="000E6D58" w:rsidP="00823DE4">
      <w:pPr>
        <w:pStyle w:val="FootnoteText"/>
      </w:pPr>
      <w:r w:rsidRPr="00E51213">
        <w:rPr>
          <w:rStyle w:val="FootnoteReference"/>
        </w:rPr>
        <w:footnoteRef/>
      </w:r>
      <w:r w:rsidRPr="00E51213">
        <w:t xml:space="preserve"> </w:t>
      </w:r>
      <w:r w:rsidRPr="00E51213">
        <w:rPr>
          <w:b/>
        </w:rPr>
        <w:t>G. Bonoli</w:t>
      </w:r>
      <w:r w:rsidRPr="00E51213">
        <w:t>, “The Politics of the New Social Policies: Providing Coverage against New Social Risks in</w:t>
      </w:r>
    </w:p>
    <w:p w14:paraId="6F0B59EE" w14:textId="51B1A8A7" w:rsidR="000E6D58" w:rsidRDefault="000E6D58" w:rsidP="00823DE4">
      <w:pPr>
        <w:pStyle w:val="FootnoteText"/>
      </w:pPr>
      <w:r>
        <w:t>Mature Welfare States”, 2005,</w:t>
      </w:r>
      <w:r w:rsidRPr="00E51213">
        <w:t xml:space="preserve"> 33</w:t>
      </w:r>
      <w:r>
        <w:t xml:space="preserve"> </w:t>
      </w:r>
      <w:r w:rsidRPr="00E51213">
        <w:t xml:space="preserve">Policy and Politics, 431-449 at p. 433 </w:t>
      </w:r>
      <w:r w:rsidRPr="00E51213">
        <w:rPr>
          <w:i/>
        </w:rPr>
        <w:t>et seq</w:t>
      </w:r>
      <w:r w:rsidRPr="00E51213">
        <w:t>.</w:t>
      </w:r>
    </w:p>
    <w:p w14:paraId="3B414980" w14:textId="77777777" w:rsidR="000E6D58" w:rsidRPr="00E51213" w:rsidRDefault="000E6D58" w:rsidP="00823DE4">
      <w:pPr>
        <w:pStyle w:val="FootnoteText"/>
      </w:pPr>
    </w:p>
  </w:footnote>
  <w:footnote w:id="29">
    <w:p w14:paraId="2185E3A4" w14:textId="77777777" w:rsidR="000E6D58" w:rsidRPr="00E51213" w:rsidRDefault="000E6D58" w:rsidP="00823DE4">
      <w:pPr>
        <w:pStyle w:val="FootnoteText"/>
      </w:pPr>
      <w:r w:rsidRPr="00E51213">
        <w:rPr>
          <w:rStyle w:val="FootnoteReference"/>
        </w:rPr>
        <w:footnoteRef/>
      </w:r>
      <w:r w:rsidRPr="00E51213">
        <w:t xml:space="preserve"> </w:t>
      </w:r>
      <w:r w:rsidRPr="00E51213">
        <w:rPr>
          <w:b/>
        </w:rPr>
        <w:t>J. Gormick</w:t>
      </w:r>
      <w:r w:rsidRPr="00E51213">
        <w:t xml:space="preserve">, </w:t>
      </w:r>
      <w:r w:rsidRPr="00E51213">
        <w:rPr>
          <w:b/>
        </w:rPr>
        <w:t>M. Meyers</w:t>
      </w:r>
      <w:r w:rsidRPr="00E51213">
        <w:t xml:space="preserve">, </w:t>
      </w:r>
      <w:r w:rsidRPr="00E51213">
        <w:rPr>
          <w:i/>
        </w:rPr>
        <w:t>Families that Work: Policies for Reconciling Parenthood and Employment</w:t>
      </w:r>
      <w:r w:rsidRPr="00E51213">
        <w:t xml:space="preserve"> </w:t>
      </w:r>
    </w:p>
    <w:p w14:paraId="287ADEE0" w14:textId="77777777" w:rsidR="000E6D58" w:rsidRPr="00E51213" w:rsidRDefault="000E6D58" w:rsidP="00823DE4">
      <w:pPr>
        <w:pStyle w:val="FootnoteText"/>
      </w:pPr>
      <w:r w:rsidRPr="00E51213">
        <w:t xml:space="preserve">(Russell Sage Foundation, 2005);  </w:t>
      </w:r>
      <w:r w:rsidRPr="00E51213">
        <w:rPr>
          <w:b/>
        </w:rPr>
        <w:t>C. Saraceno</w:t>
      </w:r>
      <w:r w:rsidRPr="00E51213">
        <w:t xml:space="preserve">, “Childcare needs and Childcare Policies: a Multidimensional </w:t>
      </w:r>
    </w:p>
    <w:p w14:paraId="0CC4F81E" w14:textId="403524CB" w:rsidR="000E6D58" w:rsidRDefault="000E6D58" w:rsidP="00823DE4">
      <w:pPr>
        <w:pStyle w:val="FootnoteText"/>
      </w:pPr>
      <w:r>
        <w:t>Issue”, 2011,</w:t>
      </w:r>
      <w:r w:rsidRPr="00E51213">
        <w:t xml:space="preserve"> Current Sociology 78-96.</w:t>
      </w:r>
    </w:p>
    <w:p w14:paraId="1B1AAF18" w14:textId="77777777" w:rsidR="00D00A16" w:rsidRPr="00E51213" w:rsidRDefault="00D00A16" w:rsidP="00823DE4">
      <w:pPr>
        <w:pStyle w:val="FootnoteText"/>
      </w:pPr>
    </w:p>
  </w:footnote>
  <w:footnote w:id="30">
    <w:p w14:paraId="7B6F47F9" w14:textId="798DC2DB" w:rsidR="000E6D58" w:rsidRPr="00E51213" w:rsidRDefault="000E6D58" w:rsidP="00823DE4">
      <w:pPr>
        <w:pStyle w:val="FootnoteText"/>
      </w:pPr>
      <w:r w:rsidRPr="00E51213">
        <w:rPr>
          <w:rStyle w:val="FootnoteReference"/>
        </w:rPr>
        <w:footnoteRef/>
      </w:r>
      <w:r w:rsidRPr="00E51213">
        <w:t xml:space="preserve"> </w:t>
      </w:r>
      <w:r w:rsidRPr="00E51213">
        <w:rPr>
          <w:b/>
        </w:rPr>
        <w:t>P. Callister</w:t>
      </w:r>
      <w:r w:rsidRPr="00E51213">
        <w:t xml:space="preserve">, </w:t>
      </w:r>
      <w:r w:rsidRPr="00E51213">
        <w:rPr>
          <w:b/>
        </w:rPr>
        <w:t>J. Galtry</w:t>
      </w:r>
      <w:r>
        <w:t>, “</w:t>
      </w:r>
      <w:r w:rsidRPr="00E51213">
        <w:t>Baby Bonus” or Paid Parental Leave – Which One Is Better?</w:t>
      </w:r>
      <w:r>
        <w:t>”</w:t>
      </w:r>
      <w:r w:rsidRPr="00E51213">
        <w:t xml:space="preserve">, </w:t>
      </w:r>
      <w:r>
        <w:t xml:space="preserve">2009, </w:t>
      </w:r>
      <w:r w:rsidR="00D00A16">
        <w:t xml:space="preserve">34 </w:t>
      </w:r>
      <w:r w:rsidRPr="00E51213">
        <w:t xml:space="preserve">Social Policy </w:t>
      </w:r>
    </w:p>
    <w:p w14:paraId="77291AAF" w14:textId="4E793608" w:rsidR="000E6D58" w:rsidRDefault="000E6D58" w:rsidP="00823DE4">
      <w:pPr>
        <w:pStyle w:val="FootnoteText"/>
      </w:pPr>
      <w:r w:rsidRPr="00E51213">
        <w:t>Journal of New Zealand, 1-11.</w:t>
      </w:r>
    </w:p>
    <w:p w14:paraId="5398959B" w14:textId="77777777" w:rsidR="000E6D58" w:rsidRPr="00E51213" w:rsidRDefault="000E6D58" w:rsidP="00823DE4">
      <w:pPr>
        <w:pStyle w:val="FootnoteText"/>
      </w:pPr>
    </w:p>
  </w:footnote>
  <w:footnote w:id="31">
    <w:p w14:paraId="7EF195E5" w14:textId="77777777" w:rsidR="000E6D58" w:rsidRPr="00E51213" w:rsidRDefault="000E6D58" w:rsidP="00823DE4">
      <w:pPr>
        <w:pStyle w:val="FootnoteText"/>
      </w:pPr>
      <w:r w:rsidRPr="00E51213">
        <w:rPr>
          <w:rStyle w:val="FootnoteReference"/>
        </w:rPr>
        <w:footnoteRef/>
      </w:r>
      <w:r w:rsidRPr="00E51213">
        <w:t xml:space="preserve"> </w:t>
      </w:r>
      <w:r w:rsidRPr="00E51213">
        <w:rPr>
          <w:b/>
        </w:rPr>
        <w:t>L. Bukner</w:t>
      </w:r>
      <w:r w:rsidRPr="00E51213">
        <w:t xml:space="preserve">, </w:t>
      </w:r>
      <w:r w:rsidRPr="00E51213">
        <w:rPr>
          <w:b/>
        </w:rPr>
        <w:t>S. Yeandle</w:t>
      </w:r>
      <w:r w:rsidRPr="00E51213">
        <w:t xml:space="preserve">, Valuing Carers - Calculating the Value of Carers’ Support, CIRCLE (Leeds: University of </w:t>
      </w:r>
    </w:p>
    <w:p w14:paraId="151068CE" w14:textId="4A45F9D2" w:rsidR="000E6D58" w:rsidRPr="00E51213" w:rsidRDefault="000E6D58" w:rsidP="00823DE4">
      <w:pPr>
        <w:pStyle w:val="FootnoteText"/>
      </w:pPr>
      <w:r w:rsidRPr="00E51213">
        <w:t xml:space="preserve">Leeds, 2011); see also a previous study </w:t>
      </w:r>
      <w:r w:rsidRPr="00E51213">
        <w:rPr>
          <w:i/>
        </w:rPr>
        <w:t>Valuing Carers – Calculating the Value of Unpaid Care</w:t>
      </w:r>
      <w:r w:rsidRPr="00E51213">
        <w:t xml:space="preserve">, (Carers </w:t>
      </w:r>
    </w:p>
    <w:p w14:paraId="31916EFE" w14:textId="152DE79F" w:rsidR="000E6D58" w:rsidRDefault="000E6D58" w:rsidP="00823DE4">
      <w:pPr>
        <w:pStyle w:val="FootnoteText"/>
      </w:pPr>
      <w:r w:rsidRPr="00E51213">
        <w:t>UK, 2007)</w:t>
      </w:r>
      <w:r>
        <w:t>.</w:t>
      </w:r>
    </w:p>
    <w:p w14:paraId="1272A7B5" w14:textId="77777777" w:rsidR="000E6D58" w:rsidRPr="00E51213" w:rsidRDefault="000E6D58" w:rsidP="00823DE4">
      <w:pPr>
        <w:pStyle w:val="FootnoteText"/>
        <w:rPr>
          <w:i/>
        </w:rPr>
      </w:pPr>
    </w:p>
  </w:footnote>
  <w:footnote w:id="32">
    <w:p w14:paraId="0E04F3B4" w14:textId="77777777" w:rsidR="008C2677" w:rsidRDefault="008C2677" w:rsidP="008C2677">
      <w:pPr>
        <w:pStyle w:val="FootnoteText"/>
      </w:pPr>
      <w:r w:rsidRPr="007A5DC8">
        <w:rPr>
          <w:rStyle w:val="FootnoteReference"/>
        </w:rPr>
        <w:footnoteRef/>
      </w:r>
      <w:r w:rsidRPr="007A5DC8">
        <w:t xml:space="preserve"> Communication from the Commission: </w:t>
      </w:r>
      <w:r w:rsidRPr="007A5DC8">
        <w:rPr>
          <w:i/>
        </w:rPr>
        <w:t>Europe 2020 -A strategy for smart, sustainable and inclusive growth</w:t>
      </w:r>
    </w:p>
    <w:p w14:paraId="6F05FF67" w14:textId="77777777" w:rsidR="008C2677" w:rsidRDefault="008C2677" w:rsidP="008C2677">
      <w:pPr>
        <w:pStyle w:val="FootnoteText"/>
      </w:pPr>
      <w:r w:rsidRPr="007A5DC8">
        <w:t>COM(2010) 2020 final</w:t>
      </w:r>
      <w:r>
        <w:t>.</w:t>
      </w:r>
    </w:p>
    <w:p w14:paraId="531D95E1" w14:textId="77777777" w:rsidR="008C2677" w:rsidRPr="007A5DC8" w:rsidRDefault="008C2677" w:rsidP="008C2677">
      <w:pPr>
        <w:pStyle w:val="FootnoteText"/>
      </w:pPr>
    </w:p>
  </w:footnote>
  <w:footnote w:id="33">
    <w:p w14:paraId="54240967" w14:textId="77777777" w:rsidR="008C2677" w:rsidRDefault="008C2677" w:rsidP="008C2677">
      <w:pPr>
        <w:pStyle w:val="FootnoteText"/>
        <w:rPr>
          <w:szCs w:val="24"/>
        </w:rPr>
      </w:pPr>
      <w:r>
        <w:rPr>
          <w:rStyle w:val="FootnoteReference"/>
        </w:rPr>
        <w:footnoteRef/>
      </w:r>
      <w:r>
        <w:t xml:space="preserve"> </w:t>
      </w:r>
      <w:r w:rsidRPr="00185CAE">
        <w:rPr>
          <w:b/>
        </w:rPr>
        <w:t xml:space="preserve">L. </w:t>
      </w:r>
      <w:r w:rsidRPr="00185CAE">
        <w:rPr>
          <w:b/>
          <w:szCs w:val="24"/>
        </w:rPr>
        <w:t>Waddington</w:t>
      </w:r>
      <w:r w:rsidRPr="00185CAE">
        <w:rPr>
          <w:szCs w:val="24"/>
        </w:rPr>
        <w:t xml:space="preserve">, “Carers, Gender and Employment Discrimination: What does EU Law offer </w:t>
      </w:r>
    </w:p>
    <w:p w14:paraId="05899F58" w14:textId="77777777" w:rsidR="008C2677" w:rsidRDefault="008C2677" w:rsidP="008C2677">
      <w:pPr>
        <w:pStyle w:val="FootnoteText"/>
        <w:rPr>
          <w:i/>
          <w:szCs w:val="24"/>
        </w:rPr>
      </w:pPr>
      <w:r w:rsidRPr="00185CAE">
        <w:rPr>
          <w:szCs w:val="24"/>
        </w:rPr>
        <w:t xml:space="preserve">Europe’s Carers” in Marie-Ange Moreau (ed), </w:t>
      </w:r>
      <w:r w:rsidRPr="00185CAE">
        <w:rPr>
          <w:i/>
          <w:szCs w:val="24"/>
        </w:rPr>
        <w:t xml:space="preserve">Before and After the Economic Crisis: What Implications for the </w:t>
      </w:r>
    </w:p>
    <w:p w14:paraId="0BB2AE2A" w14:textId="77777777" w:rsidR="008C2677" w:rsidRDefault="008C2677" w:rsidP="008C2677">
      <w:pPr>
        <w:pStyle w:val="FootnoteText"/>
        <w:rPr>
          <w:szCs w:val="24"/>
        </w:rPr>
      </w:pPr>
      <w:r w:rsidRPr="00185CAE">
        <w:rPr>
          <w:i/>
          <w:szCs w:val="24"/>
        </w:rPr>
        <w:t xml:space="preserve">‘European Social Model’? </w:t>
      </w:r>
      <w:r w:rsidRPr="00C625A8">
        <w:rPr>
          <w:szCs w:val="24"/>
        </w:rPr>
        <w:t>(Edward Elgar, 2011)</w:t>
      </w:r>
      <w:r>
        <w:rPr>
          <w:szCs w:val="24"/>
        </w:rPr>
        <w:t xml:space="preserve">;  </w:t>
      </w:r>
      <w:r w:rsidRPr="007C7339">
        <w:rPr>
          <w:b/>
          <w:szCs w:val="24"/>
        </w:rPr>
        <w:t>F. Carmichael</w:t>
      </w:r>
      <w:r>
        <w:rPr>
          <w:szCs w:val="24"/>
        </w:rPr>
        <w:t xml:space="preserve">, </w:t>
      </w:r>
      <w:r w:rsidRPr="007C7339">
        <w:rPr>
          <w:b/>
          <w:szCs w:val="24"/>
        </w:rPr>
        <w:t>S. Charles</w:t>
      </w:r>
      <w:r>
        <w:rPr>
          <w:szCs w:val="24"/>
        </w:rPr>
        <w:t>, “The Opportunity Costs of Informal</w:t>
      </w:r>
    </w:p>
    <w:p w14:paraId="60D047C3" w14:textId="77777777" w:rsidR="008C2677" w:rsidRDefault="008C2677" w:rsidP="008C2677">
      <w:pPr>
        <w:pStyle w:val="FootnoteText"/>
        <w:rPr>
          <w:szCs w:val="24"/>
        </w:rPr>
      </w:pPr>
      <w:r>
        <w:rPr>
          <w:szCs w:val="24"/>
        </w:rPr>
        <w:t>Care: does Gender Matter?” (2003) 22 Journal of Health Economics 781</w:t>
      </w:r>
      <w:r w:rsidRPr="008C2677">
        <w:rPr>
          <w:szCs w:val="24"/>
        </w:rPr>
        <w:t>-xxx</w:t>
      </w:r>
      <w:r>
        <w:rPr>
          <w:szCs w:val="24"/>
        </w:rPr>
        <w:t>.</w:t>
      </w:r>
    </w:p>
    <w:p w14:paraId="34B9B33A" w14:textId="77777777" w:rsidR="008C2677" w:rsidRPr="00B25178" w:rsidRDefault="008C2677" w:rsidP="008C2677">
      <w:pPr>
        <w:pStyle w:val="FootnoteText"/>
      </w:pPr>
    </w:p>
  </w:footnote>
  <w:footnote w:id="34">
    <w:p w14:paraId="315E011F" w14:textId="77777777" w:rsidR="008C2677" w:rsidRDefault="008C2677" w:rsidP="008C2677">
      <w:pPr>
        <w:pStyle w:val="FootnoteText"/>
      </w:pPr>
      <w:r>
        <w:rPr>
          <w:rStyle w:val="FootnoteReference"/>
        </w:rPr>
        <w:footnoteRef/>
      </w:r>
      <w:r>
        <w:t xml:space="preserve"> In 2006, of those caring for older persons 76% were women; see </w:t>
      </w:r>
      <w:r w:rsidRPr="0096190A">
        <w:rPr>
          <w:b/>
        </w:rPr>
        <w:t>J. Triantafilou</w:t>
      </w:r>
      <w:r>
        <w:t xml:space="preserve">, </w:t>
      </w:r>
      <w:r w:rsidRPr="0096190A">
        <w:rPr>
          <w:b/>
        </w:rPr>
        <w:t>E. Mestheneos</w:t>
      </w:r>
      <w:r>
        <w:t xml:space="preserve"> (2006)</w:t>
      </w:r>
    </w:p>
    <w:p w14:paraId="5746B462" w14:textId="6C361894" w:rsidR="00E230B4" w:rsidRPr="00E230B4" w:rsidRDefault="008C2677" w:rsidP="00E230B4">
      <w:pPr>
        <w:pStyle w:val="FootnoteText"/>
      </w:pPr>
      <w:r w:rsidRPr="0096190A">
        <w:rPr>
          <w:i/>
        </w:rPr>
        <w:t>Summary of Main Findings from Europfamcar</w:t>
      </w:r>
      <w:r>
        <w:t>, I</w:t>
      </w:r>
      <w:r w:rsidR="00A9368D">
        <w:t>n</w:t>
      </w:r>
      <w:r>
        <w:t>stitute for Medical Sociology, University of Hamburg</w:t>
      </w:r>
      <w:r w:rsidR="00E230B4">
        <w:t>; see also,</w:t>
      </w:r>
      <w:r>
        <w:t xml:space="preserve"> </w:t>
      </w:r>
      <w:r w:rsidR="00E230B4">
        <w:t xml:space="preserve"> </w:t>
      </w:r>
      <w:r w:rsidR="00E230B4" w:rsidRPr="00E230B4">
        <w:t>Carers Trust (2014) Husband, Partner, Dad, Son, Carer?- A survey of the experiences and needs of male carers (</w:t>
      </w:r>
      <w:hyperlink r:id="rId7" w:history="1">
        <w:r w:rsidR="00E230B4" w:rsidRPr="00E230B4">
          <w:rPr>
            <w:rStyle w:val="Hyperlink"/>
          </w:rPr>
          <w:t>http://www.carers.org/sites/default/files/male_carers_research.pdf</w:t>
        </w:r>
      </w:hyperlink>
      <w:r w:rsidR="00E230B4" w:rsidRPr="00E230B4">
        <w:rPr>
          <w:u w:val="single"/>
        </w:rPr>
        <w:t>)</w:t>
      </w:r>
    </w:p>
    <w:p w14:paraId="7E5DD0B5" w14:textId="5F68CEF5" w:rsidR="008C2677" w:rsidRDefault="008C2677" w:rsidP="008C2677">
      <w:pPr>
        <w:pStyle w:val="FootnoteText"/>
      </w:pPr>
    </w:p>
    <w:p w14:paraId="310BC277" w14:textId="77777777" w:rsidR="008C2677" w:rsidRPr="0096190A" w:rsidRDefault="008C2677" w:rsidP="008C2677">
      <w:pPr>
        <w:pStyle w:val="FootnoteText"/>
      </w:pPr>
    </w:p>
  </w:footnote>
  <w:footnote w:id="35">
    <w:p w14:paraId="50A66163" w14:textId="2F583B9F" w:rsidR="000E6D58" w:rsidRDefault="000E6D58">
      <w:pPr>
        <w:pStyle w:val="FootnoteText"/>
      </w:pPr>
      <w:r>
        <w:rPr>
          <w:rStyle w:val="FootnoteReference"/>
        </w:rPr>
        <w:footnoteRef/>
      </w:r>
      <w:r>
        <w:t xml:space="preserve"> European Commission, Background Paper, </w:t>
      </w:r>
      <w:r w:rsidRPr="0071407E">
        <w:rPr>
          <w:i/>
        </w:rPr>
        <w:t>Growing the Silver Economy</w:t>
      </w:r>
      <w:r>
        <w:t xml:space="preserve">, 25 February 2015. </w:t>
      </w:r>
    </w:p>
    <w:p w14:paraId="1FB046C2" w14:textId="77777777" w:rsidR="000E6D58" w:rsidRDefault="000E6D58">
      <w:pPr>
        <w:pStyle w:val="FootnoteText"/>
      </w:pPr>
    </w:p>
  </w:footnote>
  <w:footnote w:id="36">
    <w:p w14:paraId="017955E1" w14:textId="23673AC2" w:rsidR="000E6D58" w:rsidRDefault="000E6D58" w:rsidP="00F93177">
      <w:pPr>
        <w:pStyle w:val="FootnoteText"/>
      </w:pPr>
      <w:r>
        <w:rPr>
          <w:rStyle w:val="FootnoteReference"/>
        </w:rPr>
        <w:footnoteRef/>
      </w:r>
      <w:r>
        <w:t xml:space="preserve"> </w:t>
      </w:r>
      <w:r w:rsidRPr="004A0E32">
        <w:t xml:space="preserve">European Commission (2011) </w:t>
      </w:r>
      <w:r w:rsidRPr="004A0E32">
        <w:rPr>
          <w:i/>
        </w:rPr>
        <w:t>Commission proposal for a health for growth strategy 2014 – 2020</w:t>
      </w:r>
      <w:r w:rsidR="00D00A16">
        <w:t>.</w:t>
      </w:r>
    </w:p>
    <w:p w14:paraId="1EBBBDA6" w14:textId="77777777" w:rsidR="00D00A16" w:rsidRPr="00D00A16" w:rsidRDefault="00D00A16" w:rsidP="00F93177">
      <w:pPr>
        <w:pStyle w:val="FootnoteText"/>
      </w:pPr>
    </w:p>
  </w:footnote>
  <w:footnote w:id="37">
    <w:p w14:paraId="04131CE5" w14:textId="677B50A7" w:rsidR="000E6D58" w:rsidRDefault="000E6D58">
      <w:pPr>
        <w:pStyle w:val="FootnoteText"/>
      </w:pPr>
      <w:r>
        <w:rPr>
          <w:rStyle w:val="FootnoteReference"/>
        </w:rPr>
        <w:footnoteRef/>
      </w:r>
      <w:r>
        <w:t xml:space="preserve"> See </w:t>
      </w:r>
      <w:r w:rsidRPr="00EF58BE">
        <w:rPr>
          <w:b/>
        </w:rPr>
        <w:t>R. Horton</w:t>
      </w:r>
      <w:r>
        <w:t>, “Work Life Balance and the Challenge of Eldercare”, 2015, Journal of Social Welfare and Family Law (forthcoming).</w:t>
      </w:r>
    </w:p>
    <w:p w14:paraId="48974616" w14:textId="77777777" w:rsidR="000E6D58" w:rsidRDefault="000E6D58">
      <w:pPr>
        <w:pStyle w:val="FootnoteText"/>
      </w:pPr>
    </w:p>
  </w:footnote>
  <w:footnote w:id="38">
    <w:p w14:paraId="68705395" w14:textId="4256302F" w:rsidR="000E6D58" w:rsidRDefault="000E6D58">
      <w:pPr>
        <w:pStyle w:val="FootnoteText"/>
      </w:pPr>
      <w:r>
        <w:rPr>
          <w:rStyle w:val="FootnoteReference"/>
        </w:rPr>
        <w:footnoteRef/>
      </w:r>
      <w:r>
        <w:t xml:space="preserve"> </w:t>
      </w:r>
      <w:r w:rsidRPr="002D3FB1">
        <w:rPr>
          <w:b/>
        </w:rPr>
        <w:t>J. Herring</w:t>
      </w:r>
      <w:r w:rsidRPr="002D3FB1">
        <w:t xml:space="preserve">, </w:t>
      </w:r>
      <w:r w:rsidRPr="002D3FB1">
        <w:rPr>
          <w:i/>
        </w:rPr>
        <w:t>Caring and the Law</w:t>
      </w:r>
      <w:r w:rsidRPr="002D3FB1">
        <w:t xml:space="preserve"> (Hart</w:t>
      </w:r>
      <w:r>
        <w:t>, 2013</w:t>
      </w:r>
      <w:r w:rsidRPr="002D3FB1">
        <w:t>)</w:t>
      </w:r>
    </w:p>
    <w:p w14:paraId="00D20B30" w14:textId="77777777" w:rsidR="000E6D58" w:rsidRDefault="000E6D58">
      <w:pPr>
        <w:pStyle w:val="FootnoteText"/>
      </w:pPr>
    </w:p>
  </w:footnote>
  <w:footnote w:id="39">
    <w:p w14:paraId="3CD73B58" w14:textId="468606B2" w:rsidR="000E6D58" w:rsidRDefault="000E6D58" w:rsidP="00823DE4">
      <w:pPr>
        <w:pStyle w:val="FootnoteText"/>
      </w:pPr>
      <w:r w:rsidRPr="00E51213">
        <w:rPr>
          <w:rStyle w:val="FootnoteReference"/>
        </w:rPr>
        <w:footnoteRef/>
      </w:r>
      <w:r w:rsidRPr="00E51213">
        <w:t xml:space="preserve"> </w:t>
      </w:r>
      <w:r w:rsidRPr="00E51213">
        <w:rPr>
          <w:b/>
        </w:rPr>
        <w:t>K. Lynch</w:t>
      </w:r>
      <w:r w:rsidRPr="00E51213">
        <w:t>, “Affective Equality: Who Cares?”</w:t>
      </w:r>
      <w:r w:rsidR="00D00A16">
        <w:t xml:space="preserve">, 2009, </w:t>
      </w:r>
      <w:r w:rsidRPr="00E51213">
        <w:t>Development 410- X.</w:t>
      </w:r>
    </w:p>
    <w:p w14:paraId="1503CEDD" w14:textId="77777777" w:rsidR="000E6D58" w:rsidRPr="00E51213" w:rsidRDefault="000E6D58" w:rsidP="00823DE4">
      <w:pPr>
        <w:pStyle w:val="FootnoteText"/>
      </w:pPr>
    </w:p>
  </w:footnote>
  <w:footnote w:id="40">
    <w:p w14:paraId="280C7C7B" w14:textId="5E3E5A03" w:rsidR="000E6D58" w:rsidRDefault="000E6D58" w:rsidP="00823DE4">
      <w:pPr>
        <w:pStyle w:val="FootnoteText"/>
      </w:pPr>
      <w:r w:rsidRPr="00E51213">
        <w:rPr>
          <w:rStyle w:val="FootnoteReference"/>
        </w:rPr>
        <w:footnoteRef/>
      </w:r>
      <w:r w:rsidRPr="00E51213">
        <w:t xml:space="preserve"> </w:t>
      </w:r>
      <w:r w:rsidRPr="00E51213">
        <w:rPr>
          <w:b/>
        </w:rPr>
        <w:t>E. Feder Kittay</w:t>
      </w:r>
      <w:r w:rsidRPr="00E51213">
        <w:t xml:space="preserve">, </w:t>
      </w:r>
      <w:r w:rsidRPr="00E51213">
        <w:rPr>
          <w:i/>
        </w:rPr>
        <w:t>Love’s Labour: Essay on Women, Equality and Dependency</w:t>
      </w:r>
      <w:r w:rsidRPr="00E51213">
        <w:t xml:space="preserve"> (Routledge</w:t>
      </w:r>
      <w:r>
        <w:t>,</w:t>
      </w:r>
      <w:r w:rsidRPr="00E51213">
        <w:t xml:space="preserve"> 1999)</w:t>
      </w:r>
      <w:r>
        <w:t>.</w:t>
      </w:r>
    </w:p>
    <w:p w14:paraId="4A634AEE" w14:textId="77777777" w:rsidR="000E6D58" w:rsidRPr="00E51213" w:rsidRDefault="000E6D58" w:rsidP="00823DE4">
      <w:pPr>
        <w:pStyle w:val="FootnoteText"/>
      </w:pPr>
    </w:p>
  </w:footnote>
  <w:footnote w:id="41">
    <w:p w14:paraId="0210488A" w14:textId="14747304" w:rsidR="000E6D58" w:rsidRDefault="000E6D58" w:rsidP="00823DE4">
      <w:pPr>
        <w:pStyle w:val="NormalWeb"/>
        <w:spacing w:line="240" w:lineRule="auto"/>
        <w:rPr>
          <w:rFonts w:asciiTheme="minorHAnsi" w:hAnsiTheme="minorHAnsi" w:cs="Arial"/>
          <w:color w:val="333333"/>
          <w:sz w:val="20"/>
          <w:szCs w:val="20"/>
        </w:rPr>
      </w:pPr>
      <w:r w:rsidRPr="00E51213">
        <w:rPr>
          <w:rStyle w:val="FootnoteReference"/>
          <w:rFonts w:asciiTheme="minorHAnsi" w:hAnsiTheme="minorHAnsi"/>
          <w:sz w:val="20"/>
          <w:szCs w:val="20"/>
        </w:rPr>
        <w:footnoteRef/>
      </w:r>
      <w:r w:rsidRPr="00E51213">
        <w:rPr>
          <w:rFonts w:asciiTheme="minorHAnsi" w:hAnsiTheme="minorHAnsi"/>
          <w:sz w:val="20"/>
          <w:szCs w:val="20"/>
        </w:rPr>
        <w:t xml:space="preserve"> </w:t>
      </w:r>
      <w:r w:rsidRPr="00E51213">
        <w:rPr>
          <w:rFonts w:asciiTheme="minorHAnsi" w:hAnsiTheme="minorHAnsi"/>
          <w:b/>
          <w:sz w:val="20"/>
          <w:szCs w:val="20"/>
        </w:rPr>
        <w:t>G. James</w:t>
      </w:r>
      <w:r w:rsidRPr="00E51213">
        <w:rPr>
          <w:rFonts w:asciiTheme="minorHAnsi" w:hAnsiTheme="minorHAnsi" w:cs="Arial"/>
          <w:color w:val="333333"/>
          <w:sz w:val="20"/>
          <w:szCs w:val="20"/>
        </w:rPr>
        <w:t xml:space="preserve">, </w:t>
      </w:r>
      <w:r w:rsidRPr="00E51213">
        <w:rPr>
          <w:rFonts w:asciiTheme="minorHAnsi" w:hAnsiTheme="minorHAnsi" w:cs="Arial"/>
          <w:b/>
          <w:color w:val="333333"/>
          <w:sz w:val="20"/>
          <w:szCs w:val="20"/>
        </w:rPr>
        <w:t>E. Spruce</w:t>
      </w:r>
      <w:r w:rsidRPr="00E51213">
        <w:rPr>
          <w:rFonts w:asciiTheme="minorHAnsi" w:hAnsiTheme="minorHAnsi" w:cs="Arial"/>
          <w:color w:val="333333"/>
          <w:sz w:val="20"/>
          <w:szCs w:val="20"/>
        </w:rPr>
        <w:t>, “</w:t>
      </w:r>
      <w:hyperlink r:id="rId8" w:history="1">
        <w:r w:rsidRPr="00E51213">
          <w:rPr>
            <w:rFonts w:asciiTheme="minorHAnsi" w:hAnsiTheme="minorHAnsi" w:cs="Arial"/>
            <w:iCs/>
            <w:sz w:val="20"/>
            <w:szCs w:val="20"/>
          </w:rPr>
          <w:t xml:space="preserve">Workers with </w:t>
        </w:r>
        <w:r>
          <w:rPr>
            <w:rFonts w:asciiTheme="minorHAnsi" w:hAnsiTheme="minorHAnsi" w:cs="Arial"/>
            <w:iCs/>
            <w:sz w:val="20"/>
            <w:szCs w:val="20"/>
          </w:rPr>
          <w:t>E</w:t>
        </w:r>
        <w:r w:rsidRPr="00E51213">
          <w:rPr>
            <w:rFonts w:asciiTheme="minorHAnsi" w:hAnsiTheme="minorHAnsi" w:cs="Arial"/>
            <w:iCs/>
            <w:sz w:val="20"/>
            <w:szCs w:val="20"/>
          </w:rPr>
          <w:t xml:space="preserve">lderly </w:t>
        </w:r>
        <w:r>
          <w:rPr>
            <w:rFonts w:asciiTheme="minorHAnsi" w:hAnsiTheme="minorHAnsi" w:cs="Arial"/>
            <w:iCs/>
            <w:sz w:val="20"/>
            <w:szCs w:val="20"/>
          </w:rPr>
          <w:t>D</w:t>
        </w:r>
        <w:r w:rsidRPr="00E51213">
          <w:rPr>
            <w:rFonts w:asciiTheme="minorHAnsi" w:hAnsiTheme="minorHAnsi" w:cs="Arial"/>
            <w:iCs/>
            <w:sz w:val="20"/>
            <w:szCs w:val="20"/>
          </w:rPr>
          <w:t xml:space="preserve">ependants: </w:t>
        </w:r>
        <w:r>
          <w:rPr>
            <w:rFonts w:asciiTheme="minorHAnsi" w:hAnsiTheme="minorHAnsi" w:cs="Arial"/>
            <w:iCs/>
            <w:sz w:val="20"/>
            <w:szCs w:val="20"/>
          </w:rPr>
          <w:t>E</w:t>
        </w:r>
        <w:r w:rsidRPr="00E51213">
          <w:rPr>
            <w:rFonts w:asciiTheme="minorHAnsi" w:hAnsiTheme="minorHAnsi" w:cs="Arial"/>
            <w:iCs/>
            <w:sz w:val="20"/>
            <w:szCs w:val="20"/>
          </w:rPr>
          <w:t>mployment</w:t>
        </w:r>
        <w:r w:rsidR="005D7B84">
          <w:rPr>
            <w:rFonts w:asciiTheme="minorHAnsi" w:hAnsiTheme="minorHAnsi" w:cs="Arial"/>
            <w:iCs/>
            <w:sz w:val="20"/>
            <w:szCs w:val="20"/>
          </w:rPr>
          <w:t xml:space="preserve"> </w:t>
        </w:r>
        <w:r>
          <w:rPr>
            <w:rFonts w:asciiTheme="minorHAnsi" w:hAnsiTheme="minorHAnsi" w:cs="Arial"/>
            <w:iCs/>
            <w:sz w:val="20"/>
            <w:szCs w:val="20"/>
          </w:rPr>
          <w:t>L</w:t>
        </w:r>
        <w:r w:rsidRPr="00E51213">
          <w:rPr>
            <w:rFonts w:asciiTheme="minorHAnsi" w:hAnsiTheme="minorHAnsi" w:cs="Arial"/>
            <w:iCs/>
            <w:sz w:val="20"/>
            <w:szCs w:val="20"/>
          </w:rPr>
          <w:t xml:space="preserve">aw’s </w:t>
        </w:r>
        <w:r>
          <w:rPr>
            <w:rFonts w:asciiTheme="minorHAnsi" w:hAnsiTheme="minorHAnsi" w:cs="Arial"/>
            <w:iCs/>
            <w:sz w:val="20"/>
            <w:szCs w:val="20"/>
          </w:rPr>
          <w:t>R</w:t>
        </w:r>
        <w:r w:rsidRPr="00E51213">
          <w:rPr>
            <w:rFonts w:asciiTheme="minorHAnsi" w:hAnsiTheme="minorHAnsi" w:cs="Arial"/>
            <w:iCs/>
            <w:sz w:val="20"/>
            <w:szCs w:val="20"/>
          </w:rPr>
          <w:t xml:space="preserve">esponse to the </w:t>
        </w:r>
        <w:r>
          <w:rPr>
            <w:rFonts w:asciiTheme="minorHAnsi" w:hAnsiTheme="minorHAnsi" w:cs="Arial"/>
            <w:iCs/>
            <w:sz w:val="20"/>
            <w:szCs w:val="20"/>
          </w:rPr>
          <w:t>L</w:t>
        </w:r>
        <w:r w:rsidRPr="00E51213">
          <w:rPr>
            <w:rFonts w:asciiTheme="minorHAnsi" w:hAnsiTheme="minorHAnsi" w:cs="Arial"/>
            <w:iCs/>
            <w:sz w:val="20"/>
            <w:szCs w:val="20"/>
          </w:rPr>
          <w:t xml:space="preserve">atest </w:t>
        </w:r>
        <w:r>
          <w:rPr>
            <w:rFonts w:asciiTheme="minorHAnsi" w:hAnsiTheme="minorHAnsi" w:cs="Arial"/>
            <w:iCs/>
            <w:sz w:val="20"/>
            <w:szCs w:val="20"/>
          </w:rPr>
          <w:t>C</w:t>
        </w:r>
        <w:r w:rsidRPr="00E51213">
          <w:rPr>
            <w:rFonts w:asciiTheme="minorHAnsi" w:hAnsiTheme="minorHAnsi" w:cs="Arial"/>
            <w:iCs/>
            <w:sz w:val="20"/>
            <w:szCs w:val="20"/>
          </w:rPr>
          <w:t>are-</w:t>
        </w:r>
        <w:r>
          <w:rPr>
            <w:rFonts w:asciiTheme="minorHAnsi" w:hAnsiTheme="minorHAnsi" w:cs="Arial"/>
            <w:iCs/>
            <w:sz w:val="20"/>
            <w:szCs w:val="20"/>
          </w:rPr>
          <w:t>Giving C</w:t>
        </w:r>
        <w:r w:rsidRPr="00E51213">
          <w:rPr>
            <w:rFonts w:asciiTheme="minorHAnsi" w:hAnsiTheme="minorHAnsi" w:cs="Arial"/>
            <w:iCs/>
            <w:sz w:val="20"/>
            <w:szCs w:val="20"/>
          </w:rPr>
          <w:t>onundrum”</w:t>
        </w:r>
      </w:hyperlink>
      <w:r>
        <w:rPr>
          <w:rFonts w:asciiTheme="minorHAnsi" w:hAnsiTheme="minorHAnsi" w:cs="Arial"/>
          <w:iCs/>
          <w:sz w:val="20"/>
          <w:szCs w:val="20"/>
        </w:rPr>
        <w:t xml:space="preserve">, 2015, </w:t>
      </w:r>
      <w:r w:rsidRPr="00E51213">
        <w:rPr>
          <w:rFonts w:asciiTheme="minorHAnsi" w:hAnsiTheme="minorHAnsi" w:cs="Arial"/>
          <w:color w:val="333333"/>
          <w:sz w:val="20"/>
          <w:szCs w:val="20"/>
        </w:rPr>
        <w:t>Legal Studies</w:t>
      </w:r>
      <w:r>
        <w:rPr>
          <w:rFonts w:asciiTheme="minorHAnsi" w:hAnsiTheme="minorHAnsi" w:cs="Arial"/>
          <w:color w:val="333333"/>
          <w:sz w:val="20"/>
          <w:szCs w:val="20"/>
        </w:rPr>
        <w:t xml:space="preserve"> 1-17.</w:t>
      </w:r>
    </w:p>
    <w:p w14:paraId="45542B9C" w14:textId="77777777" w:rsidR="000E6D58" w:rsidRPr="00E51213" w:rsidRDefault="000E6D58" w:rsidP="00823DE4">
      <w:pPr>
        <w:pStyle w:val="NormalWeb"/>
        <w:spacing w:line="240" w:lineRule="auto"/>
        <w:rPr>
          <w:rFonts w:asciiTheme="minorHAnsi" w:hAnsiTheme="minorHAnsi" w:cs="Arial"/>
          <w:color w:val="333333"/>
          <w:sz w:val="20"/>
          <w:szCs w:val="20"/>
        </w:rPr>
      </w:pPr>
    </w:p>
  </w:footnote>
  <w:footnote w:id="42">
    <w:p w14:paraId="50657221" w14:textId="599CF774" w:rsidR="000E6D58" w:rsidRDefault="000E6D58">
      <w:pPr>
        <w:pStyle w:val="FootnoteText"/>
      </w:pPr>
      <w:r>
        <w:rPr>
          <w:rStyle w:val="FootnoteReference"/>
        </w:rPr>
        <w:footnoteRef/>
      </w:r>
      <w:r>
        <w:t xml:space="preserve"> Interlinks, </w:t>
      </w:r>
      <w:r w:rsidRPr="00740B97">
        <w:rPr>
          <w:i/>
        </w:rPr>
        <w:t>Informal Care in the Long-Term Care System</w:t>
      </w:r>
      <w:r>
        <w:t>, 2010.</w:t>
      </w:r>
    </w:p>
    <w:p w14:paraId="4919EC8B" w14:textId="77777777" w:rsidR="000E6D58" w:rsidRDefault="000E6D58">
      <w:pPr>
        <w:pStyle w:val="FootnoteText"/>
      </w:pPr>
    </w:p>
  </w:footnote>
  <w:footnote w:id="43">
    <w:p w14:paraId="1F554EBE" w14:textId="30EC7A5F" w:rsidR="000E6D58" w:rsidRDefault="000E6D58">
      <w:pPr>
        <w:pStyle w:val="FootnoteText"/>
      </w:pPr>
      <w:r>
        <w:rPr>
          <w:rStyle w:val="FootnoteReference"/>
        </w:rPr>
        <w:footnoteRef/>
      </w:r>
      <w:r>
        <w:t xml:space="preserve"> </w:t>
      </w:r>
      <w:r w:rsidRPr="005D3FB5">
        <w:rPr>
          <w:b/>
        </w:rPr>
        <w:t>Glendinning</w:t>
      </w:r>
      <w:r>
        <w:t xml:space="preserve">, </w:t>
      </w:r>
      <w:r w:rsidRPr="005D3FB5">
        <w:rPr>
          <w:b/>
        </w:rPr>
        <w:t>H. Arksey</w:t>
      </w:r>
      <w:r w:rsidRPr="005D3FB5">
        <w:t xml:space="preserve">, </w:t>
      </w:r>
      <w:r w:rsidRPr="005D3FB5">
        <w:rPr>
          <w:b/>
        </w:rPr>
        <w:t>F. Tjadens</w:t>
      </w:r>
      <w:r w:rsidRPr="005D3FB5">
        <w:t xml:space="preserve">, </w:t>
      </w:r>
      <w:r w:rsidRPr="005D3FB5">
        <w:rPr>
          <w:b/>
        </w:rPr>
        <w:t>M. Moree</w:t>
      </w:r>
      <w:r w:rsidRPr="005D3FB5">
        <w:t xml:space="preserve">, </w:t>
      </w:r>
      <w:r w:rsidRPr="005D3FB5">
        <w:rPr>
          <w:b/>
        </w:rPr>
        <w:t>N. Moran</w:t>
      </w:r>
      <w:r w:rsidRPr="005D3FB5">
        <w:t xml:space="preserve"> and </w:t>
      </w:r>
      <w:r w:rsidRPr="005D3FB5">
        <w:rPr>
          <w:b/>
        </w:rPr>
        <w:t>H. Nies</w:t>
      </w:r>
      <w:r w:rsidR="00D00A16">
        <w:t>,</w:t>
      </w:r>
      <w:r w:rsidRPr="005D3FB5">
        <w:t xml:space="preserve"> “Care Provision within Families and its Socio-Economic Impact on Care Providers Across the European Union”, Research Works, No. 2009</w:t>
      </w:r>
      <w:r w:rsidR="00D00A16">
        <w:t>/</w:t>
      </w:r>
      <w:r w:rsidRPr="005D3FB5">
        <w:t>05, Social Policy Research Unit</w:t>
      </w:r>
      <w:r>
        <w:t xml:space="preserve">; see also in the UK context </w:t>
      </w:r>
      <w:r w:rsidRPr="00740B97">
        <w:rPr>
          <w:b/>
        </w:rPr>
        <w:t>S.</w:t>
      </w:r>
      <w:r w:rsidRPr="00740B97">
        <w:rPr>
          <w:rFonts w:cs="Times New Roman"/>
          <w:b/>
          <w:sz w:val="24"/>
          <w:szCs w:val="24"/>
        </w:rPr>
        <w:t xml:space="preserve"> </w:t>
      </w:r>
      <w:r w:rsidRPr="00740B97">
        <w:rPr>
          <w:b/>
        </w:rPr>
        <w:t>Vickerstaff</w:t>
      </w:r>
      <w:r w:rsidRPr="00740B97">
        <w:t xml:space="preserve">, </w:t>
      </w:r>
      <w:r w:rsidRPr="00740B97">
        <w:rPr>
          <w:b/>
        </w:rPr>
        <w:t>W. Loretto</w:t>
      </w:r>
      <w:r w:rsidRPr="00740B97">
        <w:t xml:space="preserve">, </w:t>
      </w:r>
      <w:r w:rsidRPr="00740B97">
        <w:rPr>
          <w:b/>
        </w:rPr>
        <w:t>A. Milne</w:t>
      </w:r>
      <w:r w:rsidRPr="00740B97">
        <w:t xml:space="preserve">, </w:t>
      </w:r>
      <w:r w:rsidRPr="00740B97">
        <w:rPr>
          <w:b/>
        </w:rPr>
        <w:t>E. Alden</w:t>
      </w:r>
      <w:r w:rsidRPr="00740B97">
        <w:t xml:space="preserve">, </w:t>
      </w:r>
      <w:r w:rsidRPr="00740B97">
        <w:rPr>
          <w:b/>
        </w:rPr>
        <w:t>J. Billings</w:t>
      </w:r>
      <w:r w:rsidR="00D00A16">
        <w:t xml:space="preserve"> </w:t>
      </w:r>
      <w:r>
        <w:t xml:space="preserve">and </w:t>
      </w:r>
      <w:r w:rsidRPr="00740B97">
        <w:rPr>
          <w:b/>
        </w:rPr>
        <w:t>P. White</w:t>
      </w:r>
      <w:r>
        <w:t>,</w:t>
      </w:r>
      <w:r w:rsidRPr="00740B97">
        <w:t xml:space="preserve"> </w:t>
      </w:r>
      <w:r w:rsidRPr="00740B97">
        <w:rPr>
          <w:i/>
        </w:rPr>
        <w:t>Employment Support for Carers</w:t>
      </w:r>
      <w:r>
        <w:t xml:space="preserve"> (</w:t>
      </w:r>
      <w:r w:rsidRPr="00740B97">
        <w:t xml:space="preserve">Department for Work and Pensions Research Report No 597) </w:t>
      </w:r>
      <w:r w:rsidR="00D00A16">
        <w:t>(</w:t>
      </w:r>
      <w:r w:rsidRPr="00740B97">
        <w:t>London:</w:t>
      </w:r>
      <w:r w:rsidR="005D7B84">
        <w:t xml:space="preserve"> </w:t>
      </w:r>
      <w:r w:rsidRPr="00740B97">
        <w:t>HMSO</w:t>
      </w:r>
      <w:r w:rsidR="00D00A16">
        <w:t>, 2009)</w:t>
      </w:r>
      <w:r>
        <w:t>.</w:t>
      </w:r>
    </w:p>
    <w:p w14:paraId="0294676B" w14:textId="77777777" w:rsidR="000E6D58" w:rsidRDefault="000E6D58">
      <w:pPr>
        <w:pStyle w:val="FootnoteText"/>
      </w:pPr>
    </w:p>
  </w:footnote>
  <w:footnote w:id="44">
    <w:p w14:paraId="45BB7F0B" w14:textId="77777777" w:rsidR="000E6D58" w:rsidRPr="00E51213" w:rsidRDefault="000E6D58" w:rsidP="00823DE4">
      <w:pPr>
        <w:pStyle w:val="FootnoteText"/>
      </w:pPr>
      <w:r w:rsidRPr="00E51213">
        <w:rPr>
          <w:rStyle w:val="FootnoteReference"/>
        </w:rPr>
        <w:footnoteRef/>
      </w:r>
      <w:r w:rsidRPr="00E51213">
        <w:t xml:space="preserve"> </w:t>
      </w:r>
      <w:r w:rsidRPr="00E51213">
        <w:rPr>
          <w:b/>
        </w:rPr>
        <w:t>M. Daly</w:t>
      </w:r>
      <w:r w:rsidRPr="00E51213">
        <w:t>, “Caring in the Third Way: the Relationship between Obligation, Responsibility and Care in Third</w:t>
      </w:r>
    </w:p>
    <w:p w14:paraId="4505A995" w14:textId="04762CF2" w:rsidR="000E6D58" w:rsidRDefault="000E6D58" w:rsidP="00823DE4">
      <w:pPr>
        <w:pStyle w:val="FootnoteText"/>
      </w:pPr>
      <w:r>
        <w:t>Way Discourse”, 2000,</w:t>
      </w:r>
      <w:r w:rsidRPr="00E51213">
        <w:t xml:space="preserve"> </w:t>
      </w:r>
      <w:r>
        <w:t xml:space="preserve">20 Critical Social Policy, 5-37; see also </w:t>
      </w:r>
      <w:r>
        <w:rPr>
          <w:b/>
        </w:rPr>
        <w:t>S. Sevenhuijsen</w:t>
      </w:r>
      <w:r w:rsidRPr="009930A7">
        <w:t>, “Ca</w:t>
      </w:r>
      <w:r>
        <w:t>re as a Good for Social Policy”, 2002,</w:t>
      </w:r>
      <w:r w:rsidRPr="009930A7">
        <w:t xml:space="preserve"> 31 Journal of Social Policy, 251-270.</w:t>
      </w:r>
    </w:p>
    <w:p w14:paraId="3A23953D" w14:textId="77777777" w:rsidR="000E6D58" w:rsidRPr="00E51213" w:rsidRDefault="000E6D58" w:rsidP="00823DE4">
      <w:pPr>
        <w:pStyle w:val="FootnoteText"/>
      </w:pPr>
    </w:p>
  </w:footnote>
  <w:footnote w:id="45">
    <w:p w14:paraId="5805B8E1" w14:textId="0076CD26" w:rsidR="000E6D58" w:rsidRDefault="000E6D58" w:rsidP="000E6D58">
      <w:pPr>
        <w:pStyle w:val="FootnoteText"/>
      </w:pPr>
      <w:r w:rsidRPr="00935362">
        <w:rPr>
          <w:rStyle w:val="FootnoteReference"/>
        </w:rPr>
        <w:footnoteRef/>
      </w:r>
      <w:r w:rsidRPr="00935362">
        <w:t xml:space="preserve"> The leading work in this area </w:t>
      </w:r>
      <w:r>
        <w:t xml:space="preserve">are, </w:t>
      </w:r>
      <w:r w:rsidRPr="000E6D58">
        <w:rPr>
          <w:i/>
        </w:rPr>
        <w:t>inter alia</w:t>
      </w:r>
      <w:r>
        <w:t>,</w:t>
      </w:r>
      <w:r w:rsidRPr="00935362">
        <w:t xml:space="preserve"> </w:t>
      </w:r>
      <w:r w:rsidRPr="00935362">
        <w:rPr>
          <w:b/>
        </w:rPr>
        <w:t>C. Gilligan</w:t>
      </w:r>
      <w:r w:rsidRPr="00935362">
        <w:t xml:space="preserve">, </w:t>
      </w:r>
      <w:r w:rsidRPr="00935362">
        <w:rPr>
          <w:i/>
        </w:rPr>
        <w:t>In a Different Voice</w:t>
      </w:r>
      <w:r w:rsidRPr="00935362">
        <w:t xml:space="preserve"> (Harvard University Press, 1982).</w:t>
      </w:r>
      <w:r>
        <w:t xml:space="preserve"> </w:t>
      </w:r>
      <w:r w:rsidRPr="00A304B5">
        <w:rPr>
          <w:b/>
        </w:rPr>
        <w:t>J. Tronto</w:t>
      </w:r>
      <w:r>
        <w:t>,</w:t>
      </w:r>
      <w:r w:rsidRPr="000E6D58">
        <w:t xml:space="preserve"> </w:t>
      </w:r>
      <w:r w:rsidRPr="000E6D58">
        <w:rPr>
          <w:i/>
        </w:rPr>
        <w:t>Moral Boundaries</w:t>
      </w:r>
      <w:r>
        <w:t xml:space="preserve"> (Routledge, 1993).</w:t>
      </w:r>
    </w:p>
    <w:p w14:paraId="4B56CD80" w14:textId="77777777" w:rsidR="000E6D58" w:rsidRPr="00935362" w:rsidRDefault="000E6D58" w:rsidP="008137E5">
      <w:pPr>
        <w:pStyle w:val="FootnoteText"/>
      </w:pPr>
    </w:p>
  </w:footnote>
  <w:footnote w:id="46">
    <w:p w14:paraId="5C16847C" w14:textId="03E57DD0" w:rsidR="000E6D58" w:rsidRDefault="000E6D58" w:rsidP="008137E5">
      <w:pPr>
        <w:pStyle w:val="FootnoteText"/>
      </w:pPr>
      <w:r w:rsidRPr="00AA52B4">
        <w:rPr>
          <w:rStyle w:val="FootnoteReference"/>
        </w:rPr>
        <w:footnoteRef/>
      </w:r>
      <w:r w:rsidRPr="00AA52B4">
        <w:t xml:space="preserve"> </w:t>
      </w:r>
      <w:r w:rsidRPr="001046A7">
        <w:rPr>
          <w:b/>
        </w:rPr>
        <w:t>J. Herring</w:t>
      </w:r>
      <w:r w:rsidRPr="00AA52B4">
        <w:t xml:space="preserve">, </w:t>
      </w:r>
      <w:r w:rsidRPr="001046A7">
        <w:rPr>
          <w:i/>
        </w:rPr>
        <w:t>Caring and the Law</w:t>
      </w:r>
      <w:r>
        <w:t xml:space="preserve"> at p.</w:t>
      </w:r>
      <w:r w:rsidRPr="00AA52B4">
        <w:t xml:space="preserve"> 49.</w:t>
      </w:r>
    </w:p>
    <w:p w14:paraId="2D91239D" w14:textId="77777777" w:rsidR="000E6D58" w:rsidRPr="00AA52B4" w:rsidRDefault="000E6D58" w:rsidP="008137E5">
      <w:pPr>
        <w:pStyle w:val="FootnoteText"/>
      </w:pPr>
    </w:p>
  </w:footnote>
  <w:footnote w:id="47">
    <w:p w14:paraId="66E572D8" w14:textId="77777777" w:rsidR="000E6D58" w:rsidRDefault="000E6D58" w:rsidP="008137E5">
      <w:pPr>
        <w:pStyle w:val="FootnoteText"/>
      </w:pPr>
      <w:r>
        <w:rPr>
          <w:rStyle w:val="FootnoteReference"/>
        </w:rPr>
        <w:footnoteRef/>
      </w:r>
      <w:r>
        <w:t xml:space="preserve"> </w:t>
      </w:r>
      <w:r>
        <w:rPr>
          <w:b/>
        </w:rPr>
        <w:t>C. Meyer</w:t>
      </w:r>
      <w:r>
        <w:t>, “Cruel Choices: Autonomy and Critical Care Decision-Making” (2004) 18 Bioethics 104-X.</w:t>
      </w:r>
    </w:p>
    <w:p w14:paraId="44A6FFAE" w14:textId="77777777" w:rsidR="000E6D58" w:rsidRDefault="000E6D58" w:rsidP="008137E5">
      <w:pPr>
        <w:pStyle w:val="FootnoteText"/>
      </w:pPr>
    </w:p>
  </w:footnote>
  <w:footnote w:id="48">
    <w:p w14:paraId="0B73B498" w14:textId="77777777" w:rsidR="000E6D58" w:rsidRDefault="000E6D58" w:rsidP="008137E5">
      <w:pPr>
        <w:pStyle w:val="FootnoteText"/>
        <w:rPr>
          <w:i/>
        </w:rPr>
      </w:pPr>
      <w:r w:rsidRPr="00E51FA0">
        <w:rPr>
          <w:rStyle w:val="FootnoteReference"/>
        </w:rPr>
        <w:footnoteRef/>
      </w:r>
      <w:r w:rsidRPr="00E51FA0">
        <w:t xml:space="preserve"> See also </w:t>
      </w:r>
      <w:r w:rsidRPr="00E51FA0">
        <w:rPr>
          <w:b/>
        </w:rPr>
        <w:t>C. Ungerson</w:t>
      </w:r>
      <w:r w:rsidRPr="00E51FA0">
        <w:t xml:space="preserve">, “Cash for Care” in Madonnna Herrington Meyer (ed.) </w:t>
      </w:r>
      <w:r w:rsidRPr="00E51FA0">
        <w:rPr>
          <w:i/>
        </w:rPr>
        <w:t xml:space="preserve">Care Work: Gender, Class and </w:t>
      </w:r>
    </w:p>
    <w:p w14:paraId="70E3E2D0" w14:textId="77777777" w:rsidR="000E6D58" w:rsidRDefault="000E6D58" w:rsidP="008137E5">
      <w:pPr>
        <w:pStyle w:val="FootnoteText"/>
      </w:pPr>
      <w:r w:rsidRPr="00E51FA0">
        <w:rPr>
          <w:i/>
        </w:rPr>
        <w:t>the</w:t>
      </w:r>
      <w:r>
        <w:rPr>
          <w:i/>
        </w:rPr>
        <w:t xml:space="preserve"> </w:t>
      </w:r>
      <w:r w:rsidRPr="00E51FA0">
        <w:rPr>
          <w:i/>
        </w:rPr>
        <w:t>Welfare State</w:t>
      </w:r>
      <w:r w:rsidRPr="00E51FA0">
        <w:t xml:space="preserve"> (R</w:t>
      </w:r>
      <w:r>
        <w:t>ou</w:t>
      </w:r>
      <w:r w:rsidRPr="00E51FA0">
        <w:t>tledge, 2000), 69.</w:t>
      </w:r>
    </w:p>
    <w:p w14:paraId="02212659" w14:textId="77777777" w:rsidR="000E6D58" w:rsidRPr="00E51FA0" w:rsidRDefault="000E6D58" w:rsidP="008137E5">
      <w:pPr>
        <w:pStyle w:val="FootnoteText"/>
        <w:rPr>
          <w:i/>
        </w:rPr>
      </w:pPr>
    </w:p>
  </w:footnote>
  <w:footnote w:id="49">
    <w:p w14:paraId="71813D38" w14:textId="77777777" w:rsidR="000E6D58" w:rsidRDefault="000E6D58" w:rsidP="008137E5">
      <w:pPr>
        <w:pStyle w:val="FootnoteText"/>
      </w:pPr>
      <w:r w:rsidRPr="00E51FA0">
        <w:rPr>
          <w:rStyle w:val="FootnoteReference"/>
        </w:rPr>
        <w:footnoteRef/>
      </w:r>
      <w:r w:rsidRPr="00E51FA0">
        <w:t xml:space="preserve"> </w:t>
      </w:r>
      <w:r w:rsidRPr="00E51FA0">
        <w:rPr>
          <w:b/>
        </w:rPr>
        <w:t>V. Held</w:t>
      </w:r>
      <w:r w:rsidRPr="00E51FA0">
        <w:t xml:space="preserve">, </w:t>
      </w:r>
      <w:r w:rsidRPr="00E51FA0">
        <w:rPr>
          <w:i/>
        </w:rPr>
        <w:t>The Ethic of Care</w:t>
      </w:r>
      <w:r w:rsidRPr="00E51FA0">
        <w:t xml:space="preserve"> (OUP, 2006).</w:t>
      </w:r>
    </w:p>
    <w:p w14:paraId="42B4FDE0" w14:textId="77777777" w:rsidR="00676C5D" w:rsidRPr="00E51FA0" w:rsidRDefault="00676C5D" w:rsidP="008137E5">
      <w:pPr>
        <w:pStyle w:val="FootnoteText"/>
      </w:pPr>
    </w:p>
  </w:footnote>
  <w:footnote w:id="50">
    <w:p w14:paraId="1026296E" w14:textId="63131E12" w:rsidR="00640968" w:rsidRDefault="00640968" w:rsidP="00640968">
      <w:pPr>
        <w:pStyle w:val="FootnoteText"/>
      </w:pPr>
      <w:r w:rsidRPr="00FC06BE">
        <w:rPr>
          <w:rStyle w:val="FootnoteReference"/>
        </w:rPr>
        <w:footnoteRef/>
      </w:r>
      <w:r w:rsidRPr="00FC06BE">
        <w:t xml:space="preserve"> </w:t>
      </w:r>
      <w:r w:rsidR="00FC06BE" w:rsidRPr="00FC06BE">
        <w:rPr>
          <w:bCs/>
          <w:color w:val="000000" w:themeColor="text1"/>
          <w:lang w:val="en"/>
        </w:rPr>
        <w:t xml:space="preserve">Opinion of Mr Cosmas </w:t>
      </w:r>
      <w:r w:rsidR="00FC06BE">
        <w:rPr>
          <w:bCs/>
          <w:color w:val="000000" w:themeColor="text1"/>
          <w:lang w:val="en"/>
        </w:rPr>
        <w:t xml:space="preserve">AG </w:t>
      </w:r>
      <w:r w:rsidR="00FC06BE" w:rsidRPr="00FC06BE">
        <w:rPr>
          <w:bCs/>
          <w:color w:val="000000" w:themeColor="text1"/>
          <w:lang w:val="en"/>
        </w:rPr>
        <w:t xml:space="preserve">delivered on 9 December 1997 in </w:t>
      </w:r>
      <w:r w:rsidR="00FC06BE" w:rsidRPr="00FC06BE">
        <w:rPr>
          <w:color w:val="000000" w:themeColor="text1"/>
        </w:rPr>
        <w:t xml:space="preserve">Case </w:t>
      </w:r>
      <w:r w:rsidR="00FC06BE" w:rsidRPr="00FC06BE">
        <w:rPr>
          <w:bCs/>
          <w:color w:val="000000" w:themeColor="text1"/>
          <w:lang w:val="en"/>
        </w:rPr>
        <w:t xml:space="preserve">C-160/96, </w:t>
      </w:r>
      <w:r w:rsidR="00FC06BE" w:rsidRPr="00FC06BE">
        <w:rPr>
          <w:bCs/>
          <w:i/>
          <w:color w:val="000000" w:themeColor="text1"/>
          <w:lang w:val="en"/>
        </w:rPr>
        <w:t xml:space="preserve">M. Molenaar and B. Fath-Molenaar v Allgemeine Ortskrankenkasse Baden-Württemberg  </w:t>
      </w:r>
      <w:r w:rsidR="00FC06BE" w:rsidRPr="00FC06BE">
        <w:rPr>
          <w:bCs/>
          <w:color w:val="000000" w:themeColor="text1"/>
          <w:lang w:val="en"/>
        </w:rPr>
        <w:t xml:space="preserve"> (</w:t>
      </w:r>
      <w:r w:rsidR="00FC06BE" w:rsidRPr="00FC06BE">
        <w:rPr>
          <w:bCs/>
          <w:i/>
          <w:iCs/>
          <w:color w:val="000000" w:themeColor="text1"/>
          <w:lang w:val="en"/>
        </w:rPr>
        <w:t xml:space="preserve">1998) </w:t>
      </w:r>
      <w:r w:rsidR="00FC06BE" w:rsidRPr="00FC06BE">
        <w:rPr>
          <w:bCs/>
          <w:iCs/>
          <w:color w:val="000000" w:themeColor="text1"/>
          <w:lang w:val="en"/>
        </w:rPr>
        <w:t>ECR I-00843</w:t>
      </w:r>
      <w:r w:rsidR="00FC06BE" w:rsidRPr="00FC06BE">
        <w:rPr>
          <w:b/>
          <w:bCs/>
          <w:i/>
          <w:iCs/>
          <w:color w:val="000000" w:themeColor="text1"/>
          <w:lang w:val="en"/>
        </w:rPr>
        <w:t xml:space="preserve">, </w:t>
      </w:r>
      <w:r w:rsidRPr="00FC06BE">
        <w:t>at fn 3.</w:t>
      </w:r>
      <w:r w:rsidRPr="001F382C">
        <w:t xml:space="preserve"> </w:t>
      </w:r>
    </w:p>
    <w:p w14:paraId="4ECE9ACD" w14:textId="77777777" w:rsidR="00676C5D" w:rsidRPr="001F382C" w:rsidRDefault="00676C5D" w:rsidP="00640968">
      <w:pPr>
        <w:pStyle w:val="FootnoteText"/>
      </w:pPr>
    </w:p>
  </w:footnote>
  <w:footnote w:id="51">
    <w:p w14:paraId="5568B30E" w14:textId="77777777" w:rsidR="008C2677" w:rsidRPr="00F41FF9" w:rsidRDefault="008C2677" w:rsidP="008C2677">
      <w:pPr>
        <w:pStyle w:val="FootnoteText"/>
      </w:pPr>
      <w:r w:rsidRPr="00F41FF9">
        <w:rPr>
          <w:rStyle w:val="FootnoteReference"/>
        </w:rPr>
        <w:footnoteRef/>
      </w:r>
      <w:r w:rsidRPr="00F41FF9">
        <w:t xml:space="preserve"> Case 53/82 </w:t>
      </w:r>
      <w:r w:rsidRPr="001E2A62">
        <w:rPr>
          <w:i/>
        </w:rPr>
        <w:t>Levin</w:t>
      </w:r>
      <w:r w:rsidRPr="00F41FF9">
        <w:t xml:space="preserve"> (1982) ECR 103; Case 344/87 </w:t>
      </w:r>
      <w:r w:rsidRPr="001E2A62">
        <w:rPr>
          <w:i/>
        </w:rPr>
        <w:t>Bettray</w:t>
      </w:r>
      <w:r w:rsidRPr="00F41FF9">
        <w:t xml:space="preserve"> (1989) ECR 1621 (look for something more recent).</w:t>
      </w:r>
    </w:p>
    <w:p w14:paraId="101F4830" w14:textId="2149CEC3" w:rsidR="008C2677" w:rsidRPr="008D4C62" w:rsidRDefault="008C2677" w:rsidP="008C2677">
      <w:pPr>
        <w:pStyle w:val="FootnoteText"/>
      </w:pPr>
      <w:r w:rsidRPr="008D4C62">
        <w:t xml:space="preserve">See also </w:t>
      </w:r>
      <w:r w:rsidR="008D4C62" w:rsidRPr="008D4C62">
        <w:t xml:space="preserve">Case C-85/96, </w:t>
      </w:r>
      <w:r w:rsidR="008D4C62" w:rsidRPr="008D4C62">
        <w:rPr>
          <w:i/>
        </w:rPr>
        <w:t>Martinez Sala</w:t>
      </w:r>
      <w:r w:rsidR="008D4C62" w:rsidRPr="008D4C62">
        <w:t xml:space="preserve"> [1998] ECR-I 2691 </w:t>
      </w:r>
      <w:r w:rsidRPr="008D4C62">
        <w:t>where the court was indirectly asked whether childcare could have been</w:t>
      </w:r>
      <w:r w:rsidR="008D4C62" w:rsidRPr="008D4C62">
        <w:t xml:space="preserve"> </w:t>
      </w:r>
      <w:r w:rsidRPr="008D4C62">
        <w:t xml:space="preserve">regarded as work and </w:t>
      </w:r>
      <w:r w:rsidR="00640968" w:rsidRPr="008D4C62">
        <w:t xml:space="preserve">opted to say no. </w:t>
      </w:r>
    </w:p>
    <w:p w14:paraId="3AEE05CE" w14:textId="77777777" w:rsidR="00CC11B3" w:rsidRPr="00336821" w:rsidRDefault="00CC11B3" w:rsidP="00676C5D">
      <w:pPr>
        <w:pStyle w:val="FootnoteText"/>
        <w:jc w:val="both"/>
        <w:rPr>
          <w:highlight w:val="yellow"/>
        </w:rPr>
      </w:pPr>
    </w:p>
  </w:footnote>
  <w:footnote w:id="52">
    <w:p w14:paraId="1B2106C6" w14:textId="77777777" w:rsidR="008C2677" w:rsidRDefault="008C2677" w:rsidP="00676C5D">
      <w:pPr>
        <w:pStyle w:val="FootnoteText"/>
        <w:jc w:val="both"/>
      </w:pPr>
      <w:r w:rsidRPr="00C320B0">
        <w:rPr>
          <w:rStyle w:val="FootnoteReference"/>
        </w:rPr>
        <w:footnoteRef/>
      </w:r>
      <w:r w:rsidRPr="00C320B0">
        <w:t xml:space="preserve"> </w:t>
      </w:r>
      <w:r w:rsidRPr="00C320B0">
        <w:rPr>
          <w:b/>
        </w:rPr>
        <w:t>J. Tronto</w:t>
      </w:r>
      <w:r w:rsidRPr="00C320B0">
        <w:t>, “The value of Care”, Boston Review, 6 February 2002.</w:t>
      </w:r>
    </w:p>
    <w:p w14:paraId="58618ED8" w14:textId="77777777" w:rsidR="00CC11B3" w:rsidRPr="00C320B0" w:rsidRDefault="00CC11B3" w:rsidP="00676C5D">
      <w:pPr>
        <w:pStyle w:val="FootnoteText"/>
        <w:jc w:val="both"/>
      </w:pPr>
    </w:p>
  </w:footnote>
  <w:footnote w:id="53">
    <w:p w14:paraId="5D0D8948" w14:textId="77777777" w:rsidR="008C2677" w:rsidRDefault="008C2677" w:rsidP="00676C5D">
      <w:pPr>
        <w:pStyle w:val="FootnoteText"/>
        <w:jc w:val="both"/>
      </w:pPr>
      <w:r w:rsidRPr="00325E07">
        <w:rPr>
          <w:rStyle w:val="FootnoteReference"/>
        </w:rPr>
        <w:footnoteRef/>
      </w:r>
      <w:r w:rsidRPr="00325E07">
        <w:t xml:space="preserve"> See for example </w:t>
      </w:r>
      <w:r w:rsidRPr="00BB3E3C">
        <w:rPr>
          <w:b/>
        </w:rPr>
        <w:t>E. Vigerust</w:t>
      </w:r>
      <w:r w:rsidRPr="00325E07">
        <w:t xml:space="preserve">, </w:t>
      </w:r>
      <w:r w:rsidRPr="00FA7D3B">
        <w:rPr>
          <w:i/>
        </w:rPr>
        <w:t>Arbeid, barn og likestilling</w:t>
      </w:r>
      <w:r>
        <w:t xml:space="preserve"> (Tano Ashehoug, 1998), </w:t>
      </w:r>
      <w:r w:rsidRPr="00C320B0">
        <w:rPr>
          <w:b/>
        </w:rPr>
        <w:t>I. Moebious</w:t>
      </w:r>
      <w:r>
        <w:t xml:space="preserve">, </w:t>
      </w:r>
      <w:r w:rsidRPr="00C320B0">
        <w:rPr>
          <w:b/>
        </w:rPr>
        <w:t>E. Szyszczak</w:t>
      </w:r>
      <w:r>
        <w:t xml:space="preserve">, </w:t>
      </w:r>
    </w:p>
    <w:p w14:paraId="6B588790" w14:textId="7B1F5072" w:rsidR="008C2677" w:rsidRDefault="008C2677" w:rsidP="00676C5D">
      <w:pPr>
        <w:pStyle w:val="FootnoteText"/>
        <w:jc w:val="both"/>
        <w:rPr>
          <w:b/>
        </w:rPr>
      </w:pPr>
      <w:r>
        <w:t xml:space="preserve">“Of Raising Pigs and Children”, 18 Yearbook of European Law (Cambridge University Press, 1988), 125-144; </w:t>
      </w:r>
      <w:r w:rsidRPr="00FA7D3B">
        <w:rPr>
          <w:b/>
        </w:rPr>
        <w:t>N.</w:t>
      </w:r>
    </w:p>
    <w:p w14:paraId="3E559B8B" w14:textId="77777777" w:rsidR="008C2677" w:rsidRDefault="008C2677" w:rsidP="00676C5D">
      <w:pPr>
        <w:pStyle w:val="FootnoteText"/>
        <w:jc w:val="both"/>
        <w:rPr>
          <w:i/>
        </w:rPr>
      </w:pPr>
      <w:r w:rsidRPr="00FA7D3B">
        <w:rPr>
          <w:b/>
        </w:rPr>
        <w:t>Busby</w:t>
      </w:r>
      <w:r>
        <w:t xml:space="preserve">, “Unpaid Care-Giving and Paid Work within a Right Framework” in N. Busby, G. James (eds.) </w:t>
      </w:r>
      <w:r w:rsidRPr="00FA7D3B">
        <w:rPr>
          <w:i/>
        </w:rPr>
        <w:t xml:space="preserve">Families, </w:t>
      </w:r>
    </w:p>
    <w:p w14:paraId="753D03A0" w14:textId="77777777" w:rsidR="008C2677" w:rsidRDefault="008C2677" w:rsidP="00676C5D">
      <w:pPr>
        <w:pStyle w:val="FootnoteText"/>
        <w:jc w:val="both"/>
      </w:pPr>
      <w:r w:rsidRPr="00FA7D3B">
        <w:rPr>
          <w:i/>
        </w:rPr>
        <w:t xml:space="preserve">Care-Giving and </w:t>
      </w:r>
      <w:r>
        <w:rPr>
          <w:i/>
        </w:rPr>
        <w:t>P</w:t>
      </w:r>
      <w:r w:rsidRPr="00FA7D3B">
        <w:rPr>
          <w:i/>
        </w:rPr>
        <w:t>aid Work</w:t>
      </w:r>
      <w:r>
        <w:t xml:space="preserve">, (Edward Elgar, 2011); </w:t>
      </w:r>
      <w:r w:rsidRPr="003818EC">
        <w:rPr>
          <w:b/>
        </w:rPr>
        <w:t>C. Holskyns</w:t>
      </w:r>
      <w:r w:rsidRPr="003818EC">
        <w:t xml:space="preserve">, “Linking Gender and International Trade </w:t>
      </w:r>
    </w:p>
    <w:p w14:paraId="40C1130D" w14:textId="77777777" w:rsidR="008C2677" w:rsidRDefault="008C2677" w:rsidP="00676C5D">
      <w:pPr>
        <w:pStyle w:val="FootnoteText"/>
        <w:jc w:val="both"/>
      </w:pPr>
      <w:r w:rsidRPr="003818EC">
        <w:t>Policy: Is Interaction Possible?” CSGR Working Paper 217/07, February 2007.</w:t>
      </w:r>
    </w:p>
    <w:p w14:paraId="3CCCB1F8" w14:textId="77777777" w:rsidR="00CC11B3" w:rsidRPr="00325E07" w:rsidRDefault="00CC11B3" w:rsidP="00676C5D">
      <w:pPr>
        <w:pStyle w:val="FootnoteText"/>
        <w:jc w:val="both"/>
      </w:pPr>
    </w:p>
  </w:footnote>
  <w:footnote w:id="54">
    <w:p w14:paraId="0E201DF4" w14:textId="7B5E1F9E" w:rsidR="000E6D58" w:rsidRDefault="000E6D58" w:rsidP="00676C5D">
      <w:pPr>
        <w:pStyle w:val="EndnoteText"/>
        <w:jc w:val="both"/>
        <w:rPr>
          <w:rFonts w:cs="Times New Roman"/>
        </w:rPr>
      </w:pPr>
      <w:r w:rsidRPr="005D3FB5">
        <w:rPr>
          <w:rStyle w:val="FootnoteReference"/>
        </w:rPr>
        <w:footnoteRef/>
      </w:r>
      <w:r w:rsidRPr="005D3FB5">
        <w:t xml:space="preserve"> </w:t>
      </w:r>
      <w:r w:rsidRPr="005D3FB5">
        <w:rPr>
          <w:b/>
        </w:rPr>
        <w:t>C. Glendinning</w:t>
      </w:r>
      <w:r>
        <w:t xml:space="preserve">, </w:t>
      </w:r>
      <w:r w:rsidRPr="005D3FB5">
        <w:rPr>
          <w:b/>
        </w:rPr>
        <w:t>H. Arksey</w:t>
      </w:r>
      <w:r w:rsidRPr="005D3FB5">
        <w:t xml:space="preserve">, </w:t>
      </w:r>
      <w:r w:rsidRPr="005D3FB5">
        <w:rPr>
          <w:b/>
        </w:rPr>
        <w:t>F. Tjadens</w:t>
      </w:r>
      <w:r w:rsidRPr="005D3FB5">
        <w:t xml:space="preserve">, </w:t>
      </w:r>
      <w:r w:rsidRPr="005D3FB5">
        <w:rPr>
          <w:b/>
        </w:rPr>
        <w:t>M. Moree</w:t>
      </w:r>
      <w:r w:rsidRPr="005D3FB5">
        <w:t xml:space="preserve">, </w:t>
      </w:r>
      <w:r w:rsidRPr="005D3FB5">
        <w:rPr>
          <w:b/>
        </w:rPr>
        <w:t>N. Moran</w:t>
      </w:r>
      <w:r w:rsidRPr="005D3FB5">
        <w:t xml:space="preserve"> and </w:t>
      </w:r>
      <w:r w:rsidRPr="005D3FB5">
        <w:rPr>
          <w:b/>
        </w:rPr>
        <w:t>H. Nies</w:t>
      </w:r>
      <w:r w:rsidRPr="005D3FB5">
        <w:t xml:space="preserve"> (2009), “Care Provision within Families and its Socio-Economic Impact on Care Providers Across the European Union”, Research Works, No. 2009-05, Social Policy Research Unit.  </w:t>
      </w:r>
      <w:r>
        <w:t xml:space="preserve">See also, </w:t>
      </w:r>
      <w:r w:rsidRPr="005D3FB5">
        <w:rPr>
          <w:rFonts w:cs="Times New Roman"/>
          <w:b/>
        </w:rPr>
        <w:t>T. Rostgaard</w:t>
      </w:r>
      <w:r w:rsidRPr="005D3FB5">
        <w:rPr>
          <w:rFonts w:cs="Times New Roman"/>
        </w:rPr>
        <w:t xml:space="preserve">, (2002) “Caring for Children and Older People in Europe – A Comparison of European Policies and Practice”, </w:t>
      </w:r>
      <w:r w:rsidRPr="005D3FB5">
        <w:rPr>
          <w:rFonts w:cs="Times New Roman"/>
          <w:i/>
        </w:rPr>
        <w:t>Policy Studies</w:t>
      </w:r>
      <w:r w:rsidRPr="005D3FB5">
        <w:rPr>
          <w:rFonts w:cs="Times New Roman"/>
        </w:rPr>
        <w:t xml:space="preserve">, </w:t>
      </w:r>
      <w:r w:rsidRPr="005D3FB5">
        <w:rPr>
          <w:rFonts w:cs="Times New Roman"/>
          <w:i/>
        </w:rPr>
        <w:t>23</w:t>
      </w:r>
      <w:r w:rsidRPr="005D3FB5">
        <w:rPr>
          <w:rFonts w:cs="Times New Roman"/>
        </w:rPr>
        <w:t>(1) 51-68</w:t>
      </w:r>
      <w:r>
        <w:rPr>
          <w:rFonts w:cs="Times New Roman"/>
        </w:rPr>
        <w:t>.</w:t>
      </w:r>
      <w:r w:rsidR="001014EB">
        <w:rPr>
          <w:rFonts w:cs="Times New Roman"/>
        </w:rPr>
        <w:t xml:space="preserve">  Furthermore, the </w:t>
      </w:r>
      <w:r w:rsidR="001014EB">
        <w:t xml:space="preserve">differences are emphasised by the fact that comparative information is currently patchy and does not provide a clear picture of the situation, see Social Protection Committee and the European Commission, </w:t>
      </w:r>
      <w:r w:rsidR="001014EB" w:rsidRPr="00687E6C">
        <w:rPr>
          <w:i/>
        </w:rPr>
        <w:t>Adequate Social Protection for Long-Term Care Needs in an aging Society</w:t>
      </w:r>
      <w:r w:rsidR="001014EB">
        <w:t>, 10406/14 ADD 1; SOC 403 ECOFIN 525.</w:t>
      </w:r>
    </w:p>
    <w:p w14:paraId="77B4CCA1" w14:textId="77777777" w:rsidR="000E6D58" w:rsidRDefault="000E6D58" w:rsidP="00676C5D">
      <w:pPr>
        <w:pStyle w:val="EndnoteText"/>
        <w:jc w:val="both"/>
      </w:pPr>
    </w:p>
  </w:footnote>
  <w:footnote w:id="55">
    <w:p w14:paraId="510BFCF5" w14:textId="77777777" w:rsidR="003D6AAC" w:rsidRDefault="003D6AAC" w:rsidP="00676C5D">
      <w:pPr>
        <w:pStyle w:val="FootnoteText"/>
        <w:jc w:val="both"/>
        <w:rPr>
          <w:i/>
        </w:rPr>
      </w:pPr>
      <w:r>
        <w:rPr>
          <w:rStyle w:val="FootnoteReference"/>
        </w:rPr>
        <w:footnoteRef/>
      </w:r>
      <w:r>
        <w:t xml:space="preserve"> </w:t>
      </w:r>
      <w:r w:rsidRPr="00D71710">
        <w:t xml:space="preserve">Social Protection Committee and European Commission (2014) </w:t>
      </w:r>
      <w:r w:rsidRPr="00D71710">
        <w:rPr>
          <w:i/>
        </w:rPr>
        <w:t xml:space="preserve">Adequate </w:t>
      </w:r>
      <w:r>
        <w:rPr>
          <w:i/>
        </w:rPr>
        <w:t>S</w:t>
      </w:r>
      <w:r w:rsidRPr="00D71710">
        <w:rPr>
          <w:i/>
        </w:rPr>
        <w:t xml:space="preserve">ocial </w:t>
      </w:r>
      <w:r>
        <w:rPr>
          <w:i/>
        </w:rPr>
        <w:t>P</w:t>
      </w:r>
      <w:r w:rsidRPr="00D71710">
        <w:rPr>
          <w:i/>
        </w:rPr>
        <w:t xml:space="preserve">rotection for </w:t>
      </w:r>
      <w:r>
        <w:rPr>
          <w:i/>
        </w:rPr>
        <w:t>L</w:t>
      </w:r>
      <w:r w:rsidRPr="00D71710">
        <w:rPr>
          <w:i/>
        </w:rPr>
        <w:t>ong-</w:t>
      </w:r>
      <w:r>
        <w:rPr>
          <w:i/>
        </w:rPr>
        <w:t>T</w:t>
      </w:r>
      <w:r w:rsidRPr="00D71710">
        <w:rPr>
          <w:i/>
        </w:rPr>
        <w:t xml:space="preserve">erm </w:t>
      </w:r>
      <w:r>
        <w:rPr>
          <w:i/>
        </w:rPr>
        <w:t>C</w:t>
      </w:r>
      <w:r w:rsidRPr="00D71710">
        <w:rPr>
          <w:i/>
        </w:rPr>
        <w:t xml:space="preserve">are </w:t>
      </w:r>
      <w:r>
        <w:rPr>
          <w:i/>
        </w:rPr>
        <w:t>N</w:t>
      </w:r>
      <w:r w:rsidRPr="00D71710">
        <w:rPr>
          <w:i/>
        </w:rPr>
        <w:t xml:space="preserve">eeds in an </w:t>
      </w:r>
      <w:r>
        <w:rPr>
          <w:i/>
        </w:rPr>
        <w:t>A</w:t>
      </w:r>
      <w:r w:rsidRPr="00D71710">
        <w:rPr>
          <w:i/>
        </w:rPr>
        <w:t xml:space="preserve">geing </w:t>
      </w:r>
      <w:r>
        <w:rPr>
          <w:i/>
        </w:rPr>
        <w:t>S</w:t>
      </w:r>
      <w:r w:rsidRPr="00D71710">
        <w:rPr>
          <w:i/>
        </w:rPr>
        <w:t>ociety</w:t>
      </w:r>
      <w:r>
        <w:t>, at p. 8</w:t>
      </w:r>
      <w:r>
        <w:rPr>
          <w:i/>
        </w:rPr>
        <w:t>.</w:t>
      </w:r>
    </w:p>
    <w:p w14:paraId="53F41367" w14:textId="5FEFAB0E" w:rsidR="003D6AAC" w:rsidRDefault="003D6AAC" w:rsidP="003D6AAC">
      <w:pPr>
        <w:pStyle w:val="FootnoteText"/>
      </w:pPr>
    </w:p>
  </w:footnote>
  <w:footnote w:id="56">
    <w:p w14:paraId="4974785B" w14:textId="418F72CD" w:rsidR="000E6D58" w:rsidRDefault="000E6D58">
      <w:pPr>
        <w:pStyle w:val="FootnoteText"/>
        <w:rPr>
          <w:i/>
        </w:rPr>
      </w:pPr>
      <w:r>
        <w:rPr>
          <w:rStyle w:val="FootnoteReference"/>
        </w:rPr>
        <w:footnoteRef/>
      </w:r>
      <w:r>
        <w:t xml:space="preserve"> </w:t>
      </w:r>
      <w:r w:rsidRPr="00D71710">
        <w:t xml:space="preserve">Social Protection Committee and European Commission (2014) </w:t>
      </w:r>
      <w:r w:rsidRPr="00D71710">
        <w:rPr>
          <w:i/>
        </w:rPr>
        <w:t xml:space="preserve">Adequate </w:t>
      </w:r>
      <w:r>
        <w:rPr>
          <w:i/>
        </w:rPr>
        <w:t>S</w:t>
      </w:r>
      <w:r w:rsidRPr="00D71710">
        <w:rPr>
          <w:i/>
        </w:rPr>
        <w:t xml:space="preserve">ocial </w:t>
      </w:r>
      <w:r>
        <w:rPr>
          <w:i/>
        </w:rPr>
        <w:t>P</w:t>
      </w:r>
      <w:r w:rsidRPr="00D71710">
        <w:rPr>
          <w:i/>
        </w:rPr>
        <w:t xml:space="preserve">rotection for </w:t>
      </w:r>
      <w:r>
        <w:rPr>
          <w:i/>
        </w:rPr>
        <w:t>L</w:t>
      </w:r>
      <w:r w:rsidRPr="00D71710">
        <w:rPr>
          <w:i/>
        </w:rPr>
        <w:t>ong-</w:t>
      </w:r>
      <w:r>
        <w:rPr>
          <w:i/>
        </w:rPr>
        <w:t>T</w:t>
      </w:r>
      <w:r w:rsidRPr="00D71710">
        <w:rPr>
          <w:i/>
        </w:rPr>
        <w:t xml:space="preserve">erm </w:t>
      </w:r>
      <w:r>
        <w:rPr>
          <w:i/>
        </w:rPr>
        <w:t>C</w:t>
      </w:r>
      <w:r w:rsidRPr="00D71710">
        <w:rPr>
          <w:i/>
        </w:rPr>
        <w:t xml:space="preserve">are </w:t>
      </w:r>
      <w:r>
        <w:rPr>
          <w:i/>
        </w:rPr>
        <w:t>N</w:t>
      </w:r>
      <w:r w:rsidRPr="00D71710">
        <w:rPr>
          <w:i/>
        </w:rPr>
        <w:t xml:space="preserve">eeds in an </w:t>
      </w:r>
      <w:r>
        <w:rPr>
          <w:i/>
        </w:rPr>
        <w:t>A</w:t>
      </w:r>
      <w:r w:rsidRPr="00D71710">
        <w:rPr>
          <w:i/>
        </w:rPr>
        <w:t xml:space="preserve">geing </w:t>
      </w:r>
      <w:r>
        <w:rPr>
          <w:i/>
        </w:rPr>
        <w:t>S</w:t>
      </w:r>
      <w:r w:rsidRPr="00D71710">
        <w:rPr>
          <w:i/>
        </w:rPr>
        <w:t>ociety</w:t>
      </w:r>
      <w:r>
        <w:t>, at p. 8</w:t>
      </w:r>
      <w:r>
        <w:rPr>
          <w:i/>
        </w:rPr>
        <w:t>.</w:t>
      </w:r>
    </w:p>
    <w:p w14:paraId="68EB2C5E" w14:textId="77777777" w:rsidR="000E6D58" w:rsidRDefault="000E6D58">
      <w:pPr>
        <w:pStyle w:val="FootnoteText"/>
      </w:pPr>
    </w:p>
  </w:footnote>
  <w:footnote w:id="57">
    <w:p w14:paraId="0DCCD454" w14:textId="77777777" w:rsidR="00FA6B45" w:rsidRPr="00A95ABC" w:rsidRDefault="00FA6B45" w:rsidP="00FA6B45">
      <w:pPr>
        <w:pStyle w:val="FootnoteText"/>
        <w:jc w:val="both"/>
      </w:pPr>
      <w:r>
        <w:rPr>
          <w:rStyle w:val="FootnoteReference"/>
        </w:rPr>
        <w:footnoteRef/>
      </w:r>
      <w:r>
        <w:t xml:space="preserve"> See for example: </w:t>
      </w:r>
      <w:r w:rsidRPr="00A95ABC">
        <w:t xml:space="preserve"> Regional Implementation Strategy for the Madrid International Plan of Action on Ageing 2002 (ECE/AC.23/2002/2/Rev.6; commitment No. 9 “To support families that provide care for older persons and promote intergenerational and intra-generational so</w:t>
      </w:r>
      <w:r>
        <w:t xml:space="preserve">lidarity among their members”);  </w:t>
      </w:r>
      <w:r w:rsidRPr="00A95ABC">
        <w:t>Recommendation Rec (2006) 5 of the Committee of Ministers to Member States on the Council of Europe Action Plan to promote the rights and full participation of people with disabilities in society: improving the quality of life of people with disabilities in Europe 2006-2015 (Article 3.8 “Community living” calling on states to assess the needs of families as providers of informal care, to provide them with information, training and assistance, psychological support and to enable reconciliation of private and profess</w:t>
      </w:r>
      <w:r>
        <w:t xml:space="preserve">ional life and gender equality):  </w:t>
      </w:r>
      <w:r w:rsidRPr="00A95ABC">
        <w:t>UN Convention on the Rights of Persons with Disabilities (A/61/611 from December 6, 2006; Preamble: “Persons with disabilities and their family members should receive the necessary protection</w:t>
      </w:r>
      <w:r>
        <w:t xml:space="preserve"> </w:t>
      </w:r>
      <w:r w:rsidRPr="00A95ABC">
        <w:t xml:space="preserve">and assistance to enable families to contribute towards the full and equal enjoyment of the rights of </w:t>
      </w:r>
      <w:r>
        <w:t xml:space="preserve">persons with disabilities”):  </w:t>
      </w:r>
      <w:r w:rsidRPr="00F51755">
        <w:t xml:space="preserve">Long-term care in European Union (2008), within the Open Method of Coordination (OMC) related to the health and LTC agenda, informal care is recognised as a key factor in LTC system sustainability (Article 3.3); </w:t>
      </w:r>
      <w:r w:rsidRPr="00A95ABC">
        <w:t xml:space="preserve"> Recommendation CM/Rec (2009) 6 of the Committee of Ministers to member states on ageing and disability in the 21st century: sustainable frameworks to enable greater quality of life in an inclusive society</w:t>
      </w:r>
      <w:r>
        <w:t>.</w:t>
      </w:r>
      <w:r w:rsidRPr="00A95ABC">
        <w:t xml:space="preserve"> </w:t>
      </w:r>
    </w:p>
    <w:p w14:paraId="05FA4740" w14:textId="77777777" w:rsidR="00FA6B45" w:rsidRDefault="00FA6B45" w:rsidP="00FA6B45">
      <w:pPr>
        <w:pStyle w:val="FootnoteText"/>
      </w:pPr>
    </w:p>
  </w:footnote>
  <w:footnote w:id="58">
    <w:p w14:paraId="5C3C4CB0" w14:textId="66AC0122" w:rsidR="00CC11B3" w:rsidRPr="00CC11B3" w:rsidRDefault="00CC11B3" w:rsidP="00CC11B3">
      <w:pPr>
        <w:pStyle w:val="FootnoteText"/>
      </w:pPr>
      <w:r>
        <w:rPr>
          <w:rStyle w:val="FootnoteReference"/>
        </w:rPr>
        <w:footnoteRef/>
      </w:r>
      <w:r>
        <w:t xml:space="preserve"> See generally </w:t>
      </w:r>
      <w:r w:rsidRPr="00CC11B3">
        <w:rPr>
          <w:b/>
        </w:rPr>
        <w:t>E. Caracciolo di Torella</w:t>
      </w:r>
      <w:r w:rsidRPr="00CC11B3">
        <w:t xml:space="preserve">, </w:t>
      </w:r>
      <w:r w:rsidRPr="00CC11B3">
        <w:rPr>
          <w:b/>
        </w:rPr>
        <w:t>A. Masselot</w:t>
      </w:r>
      <w:r w:rsidRPr="00CC11B3">
        <w:t xml:space="preserve">, </w:t>
      </w:r>
      <w:r w:rsidRPr="00CC11B3">
        <w:rPr>
          <w:i/>
        </w:rPr>
        <w:t>Reconciling Work and Family Life in EU Law and Policy</w:t>
      </w:r>
      <w:r>
        <w:rPr>
          <w:i/>
        </w:rPr>
        <w:t xml:space="preserve"> </w:t>
      </w:r>
      <w:r w:rsidRPr="00CC11B3">
        <w:t>(Palgrave Macmillan</w:t>
      </w:r>
      <w:r>
        <w:t>, 2010).</w:t>
      </w:r>
      <w:r w:rsidRPr="00CC11B3">
        <w:t xml:space="preserve"> </w:t>
      </w:r>
    </w:p>
    <w:p w14:paraId="3D4430DF" w14:textId="6A7AACB1" w:rsidR="00CC11B3" w:rsidRDefault="00CC11B3">
      <w:pPr>
        <w:pStyle w:val="FootnoteText"/>
      </w:pPr>
    </w:p>
  </w:footnote>
  <w:footnote w:id="59">
    <w:p w14:paraId="7E243C36" w14:textId="47E5A828" w:rsidR="00676C5D" w:rsidRDefault="00676C5D" w:rsidP="00676C5D">
      <w:pPr>
        <w:pStyle w:val="FootnoteText"/>
      </w:pPr>
      <w:r>
        <w:rPr>
          <w:rStyle w:val="FootnoteReference"/>
        </w:rPr>
        <w:footnoteRef/>
      </w:r>
      <w:r>
        <w:t xml:space="preserve"> See the work of </w:t>
      </w:r>
      <w:r w:rsidRPr="00EF58BE">
        <w:rPr>
          <w:b/>
        </w:rPr>
        <w:t>R. Horton</w:t>
      </w:r>
      <w:r>
        <w:t xml:space="preserve">, </w:t>
      </w:r>
      <w:r>
        <w:rPr>
          <w:rFonts w:cs="Times New Roman"/>
        </w:rPr>
        <w:t>“</w:t>
      </w:r>
      <w:r w:rsidRPr="00936B2E">
        <w:rPr>
          <w:rFonts w:cs="Times New Roman"/>
        </w:rPr>
        <w:t>Care Giving and R</w:t>
      </w:r>
      <w:r>
        <w:rPr>
          <w:rFonts w:cs="Times New Roman"/>
        </w:rPr>
        <w:t xml:space="preserve">easonable Adjustment in the UK” in </w:t>
      </w:r>
      <w:r w:rsidRPr="00936B2E">
        <w:rPr>
          <w:rFonts w:cs="Times New Roman"/>
          <w:i/>
        </w:rPr>
        <w:t>Families, Care-giving and Paid Work: Challenging Labour Law in the 21st Century</w:t>
      </w:r>
      <w:r w:rsidR="006413E2">
        <w:rPr>
          <w:rFonts w:cs="Times New Roman"/>
        </w:rPr>
        <w:t>,</w:t>
      </w:r>
      <w:r>
        <w:rPr>
          <w:rFonts w:cs="Times New Roman"/>
        </w:rPr>
        <w:t xml:space="preserve"> Busby and James, (e</w:t>
      </w:r>
      <w:r w:rsidRPr="00936B2E">
        <w:rPr>
          <w:rFonts w:cs="Times New Roman"/>
        </w:rPr>
        <w:t xml:space="preserve">ds), </w:t>
      </w:r>
      <w:r>
        <w:rPr>
          <w:rFonts w:cs="Times New Roman"/>
        </w:rPr>
        <w:t>(</w:t>
      </w:r>
      <w:r w:rsidRPr="00936B2E">
        <w:rPr>
          <w:rFonts w:cs="Times New Roman"/>
        </w:rPr>
        <w:t>Edward Elgar</w:t>
      </w:r>
      <w:r>
        <w:rPr>
          <w:rFonts w:cs="Times New Roman"/>
        </w:rPr>
        <w:t>, 2011) 137-152 and</w:t>
      </w:r>
      <w:r>
        <w:t xml:space="preserve"> “Work Life Balance and the Challenge of Eldercare”, 2015, Journal of Social Welfare and Family Law (forthcoming). </w:t>
      </w:r>
    </w:p>
    <w:p w14:paraId="4F26E099" w14:textId="77777777" w:rsidR="00676C5D" w:rsidRDefault="00676C5D" w:rsidP="00676C5D">
      <w:pPr>
        <w:pStyle w:val="FootnoteText"/>
      </w:pPr>
    </w:p>
  </w:footnote>
  <w:footnote w:id="60">
    <w:p w14:paraId="64889CED" w14:textId="77777777" w:rsidR="00676C5D" w:rsidRDefault="00676C5D" w:rsidP="00676C5D">
      <w:pPr>
        <w:pStyle w:val="FootnoteText"/>
      </w:pPr>
      <w:r w:rsidRPr="00936B2E">
        <w:rPr>
          <w:rStyle w:val="FootnoteReference"/>
        </w:rPr>
        <w:footnoteRef/>
      </w:r>
      <w:r w:rsidRPr="00936B2E">
        <w:t xml:space="preserve"> Article 7, Council Directive 2008/104/EC. </w:t>
      </w:r>
    </w:p>
    <w:p w14:paraId="67F90BCF" w14:textId="77777777" w:rsidR="00676C5D" w:rsidRPr="00936B2E" w:rsidRDefault="00676C5D" w:rsidP="00676C5D">
      <w:pPr>
        <w:pStyle w:val="FootnoteText"/>
      </w:pPr>
    </w:p>
  </w:footnote>
  <w:footnote w:id="61">
    <w:p w14:paraId="414A2A29" w14:textId="00D7195D" w:rsidR="006413E2" w:rsidRDefault="00676C5D" w:rsidP="00676C5D">
      <w:pPr>
        <w:pStyle w:val="FootnoteText"/>
        <w:rPr>
          <w:rFonts w:cs="Times New Roman"/>
        </w:rPr>
      </w:pPr>
      <w:r w:rsidRPr="00936B2E">
        <w:rPr>
          <w:rStyle w:val="FootnoteReference"/>
        </w:rPr>
        <w:footnoteRef/>
      </w:r>
      <w:r w:rsidRPr="00936B2E">
        <w:t xml:space="preserve"> See </w:t>
      </w:r>
      <w:r w:rsidRPr="00936B2E">
        <w:rPr>
          <w:b/>
        </w:rPr>
        <w:t>R. Horton</w:t>
      </w:r>
      <w:r w:rsidRPr="00936B2E">
        <w:t xml:space="preserve">, </w:t>
      </w:r>
      <w:r>
        <w:rPr>
          <w:rFonts w:cs="Times New Roman"/>
        </w:rPr>
        <w:t>“</w:t>
      </w:r>
      <w:r w:rsidRPr="00936B2E">
        <w:rPr>
          <w:rFonts w:cs="Times New Roman"/>
        </w:rPr>
        <w:t>Care Giving and R</w:t>
      </w:r>
      <w:r>
        <w:rPr>
          <w:rFonts w:cs="Times New Roman"/>
        </w:rPr>
        <w:t xml:space="preserve">easonable Adjustment in the UK” </w:t>
      </w:r>
      <w:r w:rsidR="006413E2">
        <w:rPr>
          <w:rFonts w:cs="Times New Roman"/>
        </w:rPr>
        <w:t xml:space="preserve">in </w:t>
      </w:r>
      <w:r w:rsidR="006413E2" w:rsidRPr="00936B2E">
        <w:rPr>
          <w:rFonts w:cs="Times New Roman"/>
          <w:i/>
        </w:rPr>
        <w:t>Families, Care-giving and Paid Work: Challenging Labour Law in the 21st Century</w:t>
      </w:r>
      <w:r w:rsidR="006413E2">
        <w:rPr>
          <w:rFonts w:cs="Times New Roman"/>
        </w:rPr>
        <w:t>, Busby and James, (e</w:t>
      </w:r>
      <w:r w:rsidR="006413E2" w:rsidRPr="00936B2E">
        <w:rPr>
          <w:rFonts w:cs="Times New Roman"/>
        </w:rPr>
        <w:t xml:space="preserve">ds), </w:t>
      </w:r>
      <w:r w:rsidR="006413E2">
        <w:rPr>
          <w:rFonts w:cs="Times New Roman"/>
        </w:rPr>
        <w:t>(</w:t>
      </w:r>
      <w:r w:rsidR="006413E2" w:rsidRPr="00936B2E">
        <w:rPr>
          <w:rFonts w:cs="Times New Roman"/>
        </w:rPr>
        <w:t>Edward Elgar</w:t>
      </w:r>
      <w:r w:rsidR="006413E2">
        <w:rPr>
          <w:rFonts w:cs="Times New Roman"/>
        </w:rPr>
        <w:t>, 2011) 137-152.</w:t>
      </w:r>
    </w:p>
    <w:p w14:paraId="1E289E8B" w14:textId="77777777" w:rsidR="00E03A19" w:rsidRPr="00936B2E" w:rsidRDefault="00E03A19" w:rsidP="00676C5D">
      <w:pPr>
        <w:pStyle w:val="FootnoteText"/>
      </w:pPr>
    </w:p>
  </w:footnote>
  <w:footnote w:id="62">
    <w:p w14:paraId="4EE36701" w14:textId="0FED9EE2" w:rsidR="00676C5D" w:rsidRDefault="00676C5D" w:rsidP="00676C5D">
      <w:pPr>
        <w:pStyle w:val="FootnoteText"/>
        <w:rPr>
          <w:rFonts w:ascii="AR CENA" w:hAnsi="AR CENA"/>
        </w:rPr>
      </w:pPr>
      <w:r w:rsidRPr="008D4C62">
        <w:rPr>
          <w:rStyle w:val="FootnoteReference"/>
        </w:rPr>
        <w:footnoteRef/>
      </w:r>
      <w:r w:rsidRPr="008D4C62">
        <w:t xml:space="preserve"> </w:t>
      </w:r>
      <w:r w:rsidR="008D4C62" w:rsidRPr="008D4C62">
        <w:t xml:space="preserve">Council Directive </w:t>
      </w:r>
      <w:r w:rsidRPr="008D4C62">
        <w:t>97/81/EC and</w:t>
      </w:r>
      <w:r w:rsidR="008D4C62" w:rsidRPr="008D4C62">
        <w:t xml:space="preserve"> Council Directive</w:t>
      </w:r>
      <w:r w:rsidRPr="008D4C62">
        <w:t xml:space="preserve"> 2008/104/EC</w:t>
      </w:r>
      <w:r w:rsidR="008D4C62" w:rsidRPr="008D4C62">
        <w:t>, respectively.</w:t>
      </w:r>
      <w:r w:rsidR="008D4C62">
        <w:t xml:space="preserve"> </w:t>
      </w:r>
    </w:p>
    <w:p w14:paraId="04F36B48" w14:textId="77777777" w:rsidR="00676C5D" w:rsidRDefault="00676C5D" w:rsidP="00676C5D">
      <w:pPr>
        <w:pStyle w:val="FootnoteText"/>
      </w:pPr>
    </w:p>
  </w:footnote>
  <w:footnote w:id="63">
    <w:p w14:paraId="09675B70" w14:textId="502C2C5B" w:rsidR="00676C5D" w:rsidRPr="00D5314A" w:rsidRDefault="00676C5D" w:rsidP="00676C5D">
      <w:pPr>
        <w:pStyle w:val="EndnoteText"/>
        <w:rPr>
          <w:rFonts w:cs="Times New Roman"/>
        </w:rPr>
      </w:pPr>
      <w:r>
        <w:rPr>
          <w:rStyle w:val="FootnoteReference"/>
        </w:rPr>
        <w:footnoteRef/>
      </w:r>
      <w:r>
        <w:t xml:space="preserve"> </w:t>
      </w:r>
      <w:r w:rsidRPr="005D3FB5">
        <w:rPr>
          <w:b/>
        </w:rPr>
        <w:t>C. Glendinning</w:t>
      </w:r>
      <w:r>
        <w:t xml:space="preserve">, </w:t>
      </w:r>
      <w:r w:rsidRPr="005D3FB5">
        <w:rPr>
          <w:b/>
        </w:rPr>
        <w:t>H. Arksey</w:t>
      </w:r>
      <w:r w:rsidRPr="005D3FB5">
        <w:t xml:space="preserve">, </w:t>
      </w:r>
      <w:r w:rsidRPr="005D3FB5">
        <w:rPr>
          <w:b/>
        </w:rPr>
        <w:t>F. Tjadens</w:t>
      </w:r>
      <w:r w:rsidRPr="005D3FB5">
        <w:t xml:space="preserve">, </w:t>
      </w:r>
      <w:r w:rsidRPr="005D3FB5">
        <w:rPr>
          <w:b/>
        </w:rPr>
        <w:t>M. Moree</w:t>
      </w:r>
      <w:r w:rsidRPr="005D3FB5">
        <w:t xml:space="preserve">, </w:t>
      </w:r>
      <w:r w:rsidRPr="005D3FB5">
        <w:rPr>
          <w:b/>
        </w:rPr>
        <w:t>N. Moran</w:t>
      </w:r>
      <w:r w:rsidRPr="005D3FB5">
        <w:t xml:space="preserve"> and </w:t>
      </w:r>
      <w:r w:rsidRPr="005D3FB5">
        <w:rPr>
          <w:b/>
        </w:rPr>
        <w:t>H. Nies</w:t>
      </w:r>
      <w:r w:rsidRPr="005D3FB5">
        <w:t xml:space="preserve"> (2009), “Care Provision within Families and its Socio-Economic Impact on Care Providers Across the European Union”, Research Works, No. 2009-05, Social Policy Research Unit</w:t>
      </w:r>
      <w:r>
        <w:t xml:space="preserve">;  </w:t>
      </w:r>
      <w:r w:rsidR="008D4C62" w:rsidRPr="008D4C62">
        <w:rPr>
          <w:b/>
        </w:rPr>
        <w:t xml:space="preserve">S. </w:t>
      </w:r>
      <w:r w:rsidR="008D4C62" w:rsidRPr="008D4C62">
        <w:rPr>
          <w:rFonts w:cs="Times New Roman"/>
          <w:b/>
        </w:rPr>
        <w:t>Yeandle</w:t>
      </w:r>
      <w:r w:rsidRPr="00D5314A">
        <w:rPr>
          <w:rFonts w:cs="Times New Roman"/>
        </w:rPr>
        <w:t xml:space="preserve">, </w:t>
      </w:r>
      <w:r w:rsidR="008D4C62" w:rsidRPr="008D4C62">
        <w:rPr>
          <w:rFonts w:cs="Times New Roman"/>
          <w:b/>
        </w:rPr>
        <w:t>C. Bennett</w:t>
      </w:r>
      <w:r w:rsidR="008D4C62">
        <w:rPr>
          <w:rFonts w:cs="Times New Roman"/>
        </w:rPr>
        <w:t xml:space="preserve">, </w:t>
      </w:r>
      <w:r w:rsidR="008D4C62" w:rsidRPr="008D4C62">
        <w:rPr>
          <w:rFonts w:cs="Times New Roman"/>
          <w:b/>
        </w:rPr>
        <w:t>G. Fry</w:t>
      </w:r>
      <w:r w:rsidR="008D4C62">
        <w:rPr>
          <w:rFonts w:cs="Times New Roman"/>
        </w:rPr>
        <w:t xml:space="preserve"> and </w:t>
      </w:r>
      <w:r w:rsidR="008D4C62" w:rsidRPr="008D4C62">
        <w:rPr>
          <w:rFonts w:cs="Times New Roman"/>
          <w:b/>
        </w:rPr>
        <w:t>C. Price</w:t>
      </w:r>
      <w:r w:rsidR="008D4C62">
        <w:rPr>
          <w:rFonts w:cs="Times New Roman"/>
        </w:rPr>
        <w:t xml:space="preserve">, </w:t>
      </w:r>
      <w:r w:rsidRPr="00D5314A">
        <w:rPr>
          <w:rFonts w:cs="Times New Roman"/>
        </w:rPr>
        <w:t xml:space="preserve">(2007) </w:t>
      </w:r>
      <w:r w:rsidRPr="00D5314A">
        <w:rPr>
          <w:rFonts w:cs="Times New Roman"/>
          <w:i/>
        </w:rPr>
        <w:t>Managing Caring and Employment</w:t>
      </w:r>
      <w:r w:rsidRPr="00D5314A">
        <w:rPr>
          <w:rFonts w:cs="Times New Roman"/>
        </w:rPr>
        <w:t xml:space="preserve">  London: Carers UK</w:t>
      </w:r>
      <w:r>
        <w:rPr>
          <w:rFonts w:cs="Times New Roman"/>
        </w:rPr>
        <w:t>.</w:t>
      </w:r>
    </w:p>
    <w:p w14:paraId="5D2B8697" w14:textId="77777777" w:rsidR="00676C5D" w:rsidRDefault="00676C5D" w:rsidP="00676C5D">
      <w:pPr>
        <w:pStyle w:val="FootnoteText"/>
      </w:pPr>
    </w:p>
  </w:footnote>
  <w:footnote w:id="64">
    <w:p w14:paraId="2C717CBD" w14:textId="4287D0A1" w:rsidR="008C4BBA" w:rsidRPr="007109E6" w:rsidRDefault="008C4BBA" w:rsidP="008C4BBA">
      <w:pPr>
        <w:pStyle w:val="FootnoteText"/>
      </w:pPr>
      <w:r>
        <w:rPr>
          <w:rStyle w:val="FootnoteReference"/>
        </w:rPr>
        <w:footnoteRef/>
      </w:r>
      <w:r>
        <w:t xml:space="preserve"> </w:t>
      </w:r>
      <w:r w:rsidRPr="008D4C62">
        <w:rPr>
          <w:b/>
        </w:rPr>
        <w:t>A. Masselot</w:t>
      </w:r>
      <w:r>
        <w:t xml:space="preserve">, </w:t>
      </w:r>
      <w:r w:rsidRPr="007109E6">
        <w:t xml:space="preserve">“The </w:t>
      </w:r>
      <w:r w:rsidRPr="007109E6">
        <w:rPr>
          <w:lang w:val="x-none"/>
        </w:rPr>
        <w:t xml:space="preserve">EU </w:t>
      </w:r>
      <w:r w:rsidR="008D4C62">
        <w:rPr>
          <w:lang w:val="en-NZ"/>
        </w:rPr>
        <w:t>C</w:t>
      </w:r>
      <w:r w:rsidRPr="007109E6">
        <w:rPr>
          <w:lang w:val="en-NZ"/>
        </w:rPr>
        <w:t>hildcare</w:t>
      </w:r>
      <w:r w:rsidRPr="007109E6">
        <w:rPr>
          <w:lang w:val="x-none"/>
        </w:rPr>
        <w:t xml:space="preserve"> </w:t>
      </w:r>
      <w:r w:rsidR="008D4C62">
        <w:t>S</w:t>
      </w:r>
      <w:r w:rsidRPr="007109E6">
        <w:rPr>
          <w:lang w:val="x-none"/>
        </w:rPr>
        <w:t xml:space="preserve">trategy in </w:t>
      </w:r>
      <w:r w:rsidR="008D4C62">
        <w:t>T</w:t>
      </w:r>
      <w:r w:rsidRPr="007109E6">
        <w:rPr>
          <w:lang w:val="x-none"/>
        </w:rPr>
        <w:t xml:space="preserve">imes of </w:t>
      </w:r>
      <w:r w:rsidR="008D4C62">
        <w:t>A</w:t>
      </w:r>
      <w:r w:rsidRPr="007109E6">
        <w:rPr>
          <w:lang w:val="x-none"/>
        </w:rPr>
        <w:t>usterity</w:t>
      </w:r>
      <w:r w:rsidRPr="007109E6">
        <w:t>” 2015, Journal of Social Welfare and Family Law (forthcoming).</w:t>
      </w:r>
    </w:p>
    <w:p w14:paraId="18CB3129" w14:textId="77777777" w:rsidR="008C4BBA" w:rsidRPr="007109E6" w:rsidRDefault="008C4BBA" w:rsidP="008C4BBA">
      <w:pPr>
        <w:pStyle w:val="FootnoteText"/>
        <w:rPr>
          <w:lang w:val="x-none"/>
        </w:rPr>
      </w:pPr>
    </w:p>
  </w:footnote>
  <w:footnote w:id="65">
    <w:p w14:paraId="76A898C0" w14:textId="706D43A5" w:rsidR="00C2012B" w:rsidRPr="00C2012B" w:rsidRDefault="00C2012B">
      <w:pPr>
        <w:pStyle w:val="FootnoteText"/>
      </w:pPr>
      <w:r>
        <w:rPr>
          <w:rStyle w:val="FootnoteReference"/>
        </w:rPr>
        <w:footnoteRef/>
      </w:r>
      <w:r>
        <w:t xml:space="preserve"> Evelyn Collins, chair of Equinet, Address to the Equinet conference </w:t>
      </w:r>
      <w:r>
        <w:rPr>
          <w:i/>
        </w:rPr>
        <w:t>Taking Action for Gender Equality</w:t>
      </w:r>
      <w:r>
        <w:t xml:space="preserve">, 23 March 2015. </w:t>
      </w:r>
    </w:p>
  </w:footnote>
  <w:footnote w:id="66">
    <w:p w14:paraId="6AB7CA28" w14:textId="67C699C8" w:rsidR="00666284" w:rsidRPr="000E6D58" w:rsidRDefault="00666284" w:rsidP="00666284">
      <w:pPr>
        <w:pStyle w:val="FootnoteText"/>
      </w:pPr>
      <w:r w:rsidRPr="000E6D58">
        <w:rPr>
          <w:rStyle w:val="FootnoteReference"/>
        </w:rPr>
        <w:footnoteRef/>
      </w:r>
      <w:r w:rsidRPr="000E6D58">
        <w:t xml:space="preserve"> 2010/C 83/02.</w:t>
      </w:r>
    </w:p>
  </w:footnote>
  <w:footnote w:id="67">
    <w:p w14:paraId="725587ED" w14:textId="490688C3" w:rsidR="00666284" w:rsidRPr="001F787F" w:rsidRDefault="00666284" w:rsidP="00666284">
      <w:pPr>
        <w:pStyle w:val="FootnoteText"/>
      </w:pPr>
      <w:r>
        <w:rPr>
          <w:rStyle w:val="FootnoteReference"/>
        </w:rPr>
        <w:footnoteRef/>
      </w:r>
      <w:r w:rsidRPr="001F787F">
        <w:t xml:space="preserve"> Article 25 EU Charter of Fundamental Rights.</w:t>
      </w:r>
    </w:p>
  </w:footnote>
  <w:footnote w:id="68">
    <w:p w14:paraId="564C72E7" w14:textId="77777777" w:rsidR="00666284" w:rsidRDefault="00666284" w:rsidP="00666284">
      <w:pPr>
        <w:pStyle w:val="FootnoteText"/>
      </w:pPr>
      <w:r>
        <w:rPr>
          <w:rStyle w:val="FootnoteReference"/>
        </w:rPr>
        <w:footnoteRef/>
      </w:r>
      <w:r>
        <w:t xml:space="preserve"> </w:t>
      </w:r>
      <w:r w:rsidRPr="001F787F">
        <w:t>Article 2</w:t>
      </w:r>
      <w:r>
        <w:t>6</w:t>
      </w:r>
      <w:r w:rsidRPr="001F787F">
        <w:t xml:space="preserve"> EU Charter of Fundamental Rights.</w:t>
      </w:r>
    </w:p>
  </w:footnote>
  <w:footnote w:id="69">
    <w:p w14:paraId="46F124C5" w14:textId="1AB98B64" w:rsidR="00666284" w:rsidRDefault="00666284" w:rsidP="00666284">
      <w:pPr>
        <w:pStyle w:val="FootnoteText"/>
      </w:pPr>
      <w:r>
        <w:rPr>
          <w:rStyle w:val="FootnoteReference"/>
        </w:rPr>
        <w:footnoteRef/>
      </w:r>
      <w:r>
        <w:t xml:space="preserve"> Article 1 Charter of Fundamental Rights.</w:t>
      </w:r>
    </w:p>
  </w:footnote>
  <w:footnote w:id="70">
    <w:p w14:paraId="16B20230" w14:textId="038A8D7E" w:rsidR="000E6D58" w:rsidRDefault="000E6D58">
      <w:pPr>
        <w:pStyle w:val="FootnoteText"/>
      </w:pPr>
      <w:r>
        <w:rPr>
          <w:rStyle w:val="FootnoteReference"/>
        </w:rPr>
        <w:footnoteRef/>
      </w:r>
      <w:r>
        <w:t xml:space="preserve"> Social Protection Committee and the European Commission, (2014) </w:t>
      </w:r>
      <w:r w:rsidRPr="00090D8C">
        <w:rPr>
          <w:i/>
        </w:rPr>
        <w:t>Adequate Social Protection for Long-Term Care Needs in an Ageing Society</w:t>
      </w:r>
      <w:r>
        <w:t>.</w:t>
      </w:r>
    </w:p>
    <w:p w14:paraId="13808545" w14:textId="77777777" w:rsidR="000E6D58" w:rsidRDefault="000E6D58">
      <w:pPr>
        <w:pStyle w:val="FootnoteText"/>
      </w:pPr>
    </w:p>
  </w:footnote>
  <w:footnote w:id="71">
    <w:p w14:paraId="749AD6B2" w14:textId="5B253A0B" w:rsidR="006413E2" w:rsidRPr="008E4A9F" w:rsidRDefault="006413E2" w:rsidP="008E4A9F">
      <w:pPr>
        <w:pStyle w:val="NormalWeb"/>
        <w:spacing w:line="240" w:lineRule="auto"/>
        <w:rPr>
          <w:rFonts w:asciiTheme="minorHAnsi" w:hAnsiTheme="minorHAnsi" w:cs="Arial"/>
          <w:sz w:val="20"/>
          <w:szCs w:val="20"/>
        </w:rPr>
      </w:pPr>
      <w:r w:rsidRPr="00783891">
        <w:rPr>
          <w:rStyle w:val="FootnoteReference"/>
          <w:rFonts w:asciiTheme="minorHAnsi" w:hAnsiTheme="minorHAnsi"/>
        </w:rPr>
        <w:footnoteRef/>
      </w:r>
      <w:r w:rsidRPr="00783891">
        <w:rPr>
          <w:rFonts w:asciiTheme="minorHAnsi" w:hAnsiTheme="minorHAnsi"/>
        </w:rPr>
        <w:t xml:space="preserve"> </w:t>
      </w:r>
      <w:r w:rsidRPr="00783891">
        <w:rPr>
          <w:rFonts w:asciiTheme="minorHAnsi" w:hAnsiTheme="minorHAnsi"/>
          <w:b/>
          <w:sz w:val="20"/>
          <w:szCs w:val="20"/>
        </w:rPr>
        <w:t>G. James</w:t>
      </w:r>
      <w:r w:rsidRPr="00783891">
        <w:rPr>
          <w:rFonts w:asciiTheme="minorHAnsi" w:hAnsiTheme="minorHAnsi" w:cs="Arial"/>
          <w:color w:val="333333"/>
          <w:sz w:val="20"/>
          <w:szCs w:val="20"/>
        </w:rPr>
        <w:t xml:space="preserve">, </w:t>
      </w:r>
      <w:r w:rsidRPr="00783891">
        <w:rPr>
          <w:rFonts w:asciiTheme="minorHAnsi" w:hAnsiTheme="minorHAnsi" w:cs="Arial"/>
          <w:b/>
          <w:color w:val="333333"/>
          <w:sz w:val="20"/>
          <w:szCs w:val="20"/>
        </w:rPr>
        <w:t>E. Spruce</w:t>
      </w:r>
      <w:r w:rsidRPr="00783891">
        <w:rPr>
          <w:rFonts w:asciiTheme="minorHAnsi" w:hAnsiTheme="minorHAnsi" w:cs="Arial"/>
          <w:color w:val="333333"/>
          <w:sz w:val="20"/>
          <w:szCs w:val="20"/>
        </w:rPr>
        <w:t>, “</w:t>
      </w:r>
      <w:hyperlink r:id="rId9" w:history="1">
        <w:r w:rsidRPr="00022A34">
          <w:rPr>
            <w:rFonts w:asciiTheme="minorHAnsi" w:hAnsiTheme="minorHAnsi" w:cs="Arial"/>
            <w:iCs/>
            <w:sz w:val="20"/>
            <w:szCs w:val="20"/>
          </w:rPr>
          <w:t>Workers with Elderly Dependants: Employment</w:t>
        </w:r>
        <w:r w:rsidR="00C2012B" w:rsidRPr="00022A34">
          <w:rPr>
            <w:rFonts w:asciiTheme="minorHAnsi" w:hAnsiTheme="minorHAnsi" w:cs="Arial"/>
            <w:iCs/>
            <w:sz w:val="20"/>
            <w:szCs w:val="20"/>
          </w:rPr>
          <w:t xml:space="preserve"> </w:t>
        </w:r>
        <w:r w:rsidRPr="00022A34">
          <w:rPr>
            <w:rFonts w:asciiTheme="minorHAnsi" w:hAnsiTheme="minorHAnsi" w:cs="Arial"/>
            <w:iCs/>
            <w:sz w:val="20"/>
            <w:szCs w:val="20"/>
          </w:rPr>
          <w:t>Law’s Response to the Latest Care-Giving Conundrum”</w:t>
        </w:r>
      </w:hyperlink>
      <w:r w:rsidRPr="00022A34">
        <w:rPr>
          <w:rFonts w:asciiTheme="minorHAnsi" w:hAnsiTheme="minorHAnsi" w:cs="Arial"/>
          <w:iCs/>
          <w:sz w:val="20"/>
          <w:szCs w:val="20"/>
        </w:rPr>
        <w:t xml:space="preserve">, 2015, </w:t>
      </w:r>
      <w:r w:rsidRPr="00022A34">
        <w:rPr>
          <w:rFonts w:asciiTheme="minorHAnsi" w:hAnsiTheme="minorHAnsi" w:cs="Arial"/>
          <w:sz w:val="20"/>
          <w:szCs w:val="20"/>
        </w:rPr>
        <w:t>Legal Studies 1-17.</w:t>
      </w:r>
    </w:p>
  </w:footnote>
  <w:footnote w:id="72">
    <w:p w14:paraId="6F5BB348" w14:textId="3E30931C" w:rsidR="006413E2" w:rsidRPr="008E4A9F" w:rsidRDefault="006413E2" w:rsidP="008E4A9F">
      <w:pPr>
        <w:pStyle w:val="EndnoteText"/>
        <w:spacing w:line="276" w:lineRule="auto"/>
        <w:rPr>
          <w:rFonts w:cs="Times New Roman"/>
        </w:rPr>
      </w:pPr>
      <w:r w:rsidRPr="00022A34">
        <w:rPr>
          <w:rStyle w:val="FootnoteReference"/>
        </w:rPr>
        <w:footnoteRef/>
      </w:r>
      <w:r w:rsidRPr="00022A34">
        <w:t xml:space="preserve"> </w:t>
      </w:r>
      <w:r w:rsidRPr="00022A34">
        <w:rPr>
          <w:rFonts w:cs="Times New Roman"/>
        </w:rPr>
        <w:t xml:space="preserve">European Commission (2011b) </w:t>
      </w:r>
      <w:r w:rsidRPr="00022A34">
        <w:rPr>
          <w:rFonts w:cs="Times New Roman"/>
          <w:i/>
          <w:iCs/>
        </w:rPr>
        <w:t>ROADMAP: Reconciliation between work, family and private life.</w:t>
      </w:r>
      <w:r w:rsidRPr="00022A34">
        <w:rPr>
          <w:rFonts w:cs="Times New Roman"/>
        </w:rPr>
        <w:t xml:space="preserve"> </w:t>
      </w:r>
    </w:p>
  </w:footnote>
  <w:footnote w:id="73">
    <w:p w14:paraId="73DAE921" w14:textId="68886E37" w:rsidR="00022A34" w:rsidRPr="008E4A9F" w:rsidRDefault="00022A34">
      <w:pPr>
        <w:pStyle w:val="FootnoteText"/>
        <w:rPr>
          <w:rFonts w:cs="Times New Roman"/>
        </w:rPr>
      </w:pPr>
      <w:r w:rsidRPr="00022A34">
        <w:rPr>
          <w:rStyle w:val="FootnoteReference"/>
        </w:rPr>
        <w:footnoteRef/>
      </w:r>
      <w:r w:rsidRPr="00022A34">
        <w:t xml:space="preserve"> </w:t>
      </w:r>
      <w:r w:rsidRPr="00022A34">
        <w:rPr>
          <w:rFonts w:cs="Times New Roman"/>
        </w:rPr>
        <w:t>2013/2044</w:t>
      </w:r>
    </w:p>
  </w:footnote>
  <w:footnote w:id="74">
    <w:p w14:paraId="0DFE134F" w14:textId="54F9140A" w:rsidR="006413E2" w:rsidRPr="008E4A9F" w:rsidRDefault="006413E2">
      <w:pPr>
        <w:pStyle w:val="FootnoteText"/>
        <w:rPr>
          <w:rFonts w:ascii="AR CENA" w:hAnsi="AR CENA" w:cs="Times New Roman"/>
        </w:rPr>
      </w:pPr>
      <w:r w:rsidRPr="00022A34">
        <w:rPr>
          <w:rStyle w:val="FootnoteReference"/>
        </w:rPr>
        <w:footnoteRef/>
      </w:r>
      <w:r w:rsidRPr="00022A34">
        <w:t xml:space="preserve"> </w:t>
      </w:r>
      <w:r w:rsidRPr="00022A34">
        <w:rPr>
          <w:rFonts w:cs="Times New Roman"/>
        </w:rPr>
        <w:t>European Parliament 2013 para 56</w:t>
      </w:r>
    </w:p>
  </w:footnote>
  <w:footnote w:id="75">
    <w:p w14:paraId="1053A978" w14:textId="0589AAB1" w:rsidR="006413E2" w:rsidRPr="008E4A9F" w:rsidRDefault="006413E2" w:rsidP="008E4A9F">
      <w:pPr>
        <w:pStyle w:val="EndnoteText"/>
        <w:spacing w:line="276" w:lineRule="auto"/>
        <w:rPr>
          <w:rFonts w:cs="Times New Roman"/>
        </w:rPr>
      </w:pPr>
      <w:r w:rsidRPr="006413E2">
        <w:rPr>
          <w:rStyle w:val="FootnoteReference"/>
        </w:rPr>
        <w:footnoteRef/>
      </w:r>
      <w:r w:rsidRPr="006413E2">
        <w:t xml:space="preserve"> </w:t>
      </w:r>
      <w:r w:rsidR="008D4C62" w:rsidRPr="008D4C62">
        <w:rPr>
          <w:b/>
        </w:rPr>
        <w:t xml:space="preserve">T. </w:t>
      </w:r>
      <w:r w:rsidR="008D4C62" w:rsidRPr="008D4C62">
        <w:rPr>
          <w:rFonts w:cs="Times New Roman"/>
          <w:b/>
        </w:rPr>
        <w:t>Borg</w:t>
      </w:r>
      <w:r w:rsidR="008D4C62">
        <w:rPr>
          <w:rFonts w:cs="Times New Roman"/>
        </w:rPr>
        <w:t xml:space="preserve">, </w:t>
      </w:r>
      <w:r w:rsidRPr="006413E2">
        <w:rPr>
          <w:rFonts w:cs="Times New Roman"/>
        </w:rPr>
        <w:t>Speech given to European Parliament Interest Group on Carers, Brussels, Belgium, 09 April 2014 (</w:t>
      </w:r>
      <w:hyperlink r:id="rId10" w:history="1">
        <w:r w:rsidRPr="006413E2">
          <w:rPr>
            <w:rStyle w:val="Hyperlink"/>
            <w:rFonts w:cs="Times New Roman"/>
          </w:rPr>
          <w:t>http://ec.europa.eu/dgs/health_consumer/dyna/borg/speeches_en.cfm</w:t>
        </w:r>
      </w:hyperlink>
      <w:r w:rsidRPr="006413E2">
        <w:rPr>
          <w:rFonts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865809"/>
      <w:docPartObj>
        <w:docPartGallery w:val="Page Numbers (Margins)"/>
        <w:docPartUnique/>
      </w:docPartObj>
    </w:sdtPr>
    <w:sdtEndPr/>
    <w:sdtContent>
      <w:p w14:paraId="4741F8B3" w14:textId="74E7AEF4" w:rsidR="000E6D58" w:rsidRDefault="000E6D58">
        <w:pPr>
          <w:pStyle w:val="Header"/>
        </w:pPr>
        <w:r>
          <w:rPr>
            <w:noProof/>
            <w:lang w:val="en-NZ" w:eastAsia="en-NZ"/>
          </w:rPr>
          <mc:AlternateContent>
            <mc:Choice Requires="wpg">
              <w:drawing>
                <wp:anchor distT="0" distB="0" distL="114300" distR="114300" simplePos="0" relativeHeight="251659264" behindDoc="0" locked="0" layoutInCell="0" allowOverlap="1" wp14:anchorId="58513F17" wp14:editId="3FEE43E0">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56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B1972" w14:textId="77777777" w:rsidR="000E6D58" w:rsidRDefault="000E6D58">
                                <w:pPr>
                                  <w:pStyle w:val="Header"/>
                                  <w:jc w:val="center"/>
                                </w:pPr>
                                <w:r>
                                  <w:fldChar w:fldCharType="begin"/>
                                </w:r>
                                <w:r>
                                  <w:instrText xml:space="preserve"> PAGE    \* MERGEFORMAT </w:instrText>
                                </w:r>
                                <w:r>
                                  <w:fldChar w:fldCharType="separate"/>
                                </w:r>
                                <w:r w:rsidR="00B44807" w:rsidRPr="00B44807">
                                  <w:rPr>
                                    <w:rStyle w:val="PageNumber"/>
                                    <w:b/>
                                    <w:bCs/>
                                    <w:noProof/>
                                    <w:color w:val="403152" w:themeColor="accent4" w:themeShade="80"/>
                                    <w:sz w:val="16"/>
                                    <w:szCs w:val="16"/>
                                  </w:rPr>
                                  <w:t>1</w:t>
                                </w:r>
                                <w:r>
                                  <w:rPr>
                                    <w:rStyle w:val="PageNumber"/>
                                    <w:b/>
                                    <w:bCs/>
                                    <w:noProof/>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 o:spid="_x0000_s1027"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14:paraId="57DB1972" w14:textId="77777777" w:rsidR="000E6D58" w:rsidRDefault="000E6D58">
                          <w:pPr>
                            <w:pStyle w:val="Header"/>
                            <w:jc w:val="center"/>
                          </w:pPr>
                          <w:r>
                            <w:fldChar w:fldCharType="begin"/>
                          </w:r>
                          <w:r>
                            <w:instrText xml:space="preserve"> PAGE    \* MERGEFORMAT </w:instrText>
                          </w:r>
                          <w:r>
                            <w:fldChar w:fldCharType="separate"/>
                          </w:r>
                          <w:r w:rsidR="00B44807" w:rsidRPr="00B44807">
                            <w:rPr>
                              <w:rStyle w:val="PageNumber"/>
                              <w:b/>
                              <w:bCs/>
                              <w:noProof/>
                              <w:color w:val="403152" w:themeColor="accent4" w:themeShade="80"/>
                              <w:sz w:val="16"/>
                              <w:szCs w:val="16"/>
                            </w:rPr>
                            <w:t>1</w:t>
                          </w:r>
                          <w:r>
                            <w:rPr>
                              <w:rStyle w:val="PageNumber"/>
                              <w:b/>
                              <w:bCs/>
                              <w:noProof/>
                              <w:color w:val="403152" w:themeColor="accent4" w:themeShade="80"/>
                              <w:sz w:val="16"/>
                              <w:szCs w:val="16"/>
                            </w:rPr>
                            <w:fldChar w:fldCharType="end"/>
                          </w:r>
                        </w:p>
                      </w:txbxContent>
                    </v:textbox>
                  </v:shape>
                  <v:group id="Group 72" o:spid="_x0000_s102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3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17A0"/>
    <w:multiLevelType w:val="hybridMultilevel"/>
    <w:tmpl w:val="61707BB8"/>
    <w:lvl w:ilvl="0" w:tplc="999EA77A">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1EC46F86"/>
    <w:multiLevelType w:val="hybridMultilevel"/>
    <w:tmpl w:val="9202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626495"/>
    <w:multiLevelType w:val="hybridMultilevel"/>
    <w:tmpl w:val="BFE68420"/>
    <w:lvl w:ilvl="0" w:tplc="7D6043C2">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AA4DA1"/>
    <w:multiLevelType w:val="hybridMultilevel"/>
    <w:tmpl w:val="DCC6459E"/>
    <w:lvl w:ilvl="0" w:tplc="E0549C7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F733DA"/>
    <w:multiLevelType w:val="hybridMultilevel"/>
    <w:tmpl w:val="557CF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845139"/>
    <w:multiLevelType w:val="hybridMultilevel"/>
    <w:tmpl w:val="9080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771885"/>
    <w:multiLevelType w:val="hybridMultilevel"/>
    <w:tmpl w:val="CA9C73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9B"/>
    <w:rsid w:val="00000696"/>
    <w:rsid w:val="00003774"/>
    <w:rsid w:val="000065A0"/>
    <w:rsid w:val="00010C22"/>
    <w:rsid w:val="0001398C"/>
    <w:rsid w:val="00015112"/>
    <w:rsid w:val="000157B3"/>
    <w:rsid w:val="00020C13"/>
    <w:rsid w:val="00022A34"/>
    <w:rsid w:val="00040F9C"/>
    <w:rsid w:val="00047971"/>
    <w:rsid w:val="00054706"/>
    <w:rsid w:val="00054842"/>
    <w:rsid w:val="00054F83"/>
    <w:rsid w:val="00055661"/>
    <w:rsid w:val="00070943"/>
    <w:rsid w:val="00071BF4"/>
    <w:rsid w:val="00077A11"/>
    <w:rsid w:val="00077CAF"/>
    <w:rsid w:val="000814F6"/>
    <w:rsid w:val="000861AE"/>
    <w:rsid w:val="00086928"/>
    <w:rsid w:val="00090D8C"/>
    <w:rsid w:val="000923E9"/>
    <w:rsid w:val="00095D8D"/>
    <w:rsid w:val="0009616B"/>
    <w:rsid w:val="000A0991"/>
    <w:rsid w:val="000A5D79"/>
    <w:rsid w:val="000A6CF7"/>
    <w:rsid w:val="000A79C8"/>
    <w:rsid w:val="000C2D77"/>
    <w:rsid w:val="000C5496"/>
    <w:rsid w:val="000C65D0"/>
    <w:rsid w:val="000D73C2"/>
    <w:rsid w:val="000D75A8"/>
    <w:rsid w:val="000D7B04"/>
    <w:rsid w:val="000E1E9B"/>
    <w:rsid w:val="000E4341"/>
    <w:rsid w:val="000E6C35"/>
    <w:rsid w:val="000E6D58"/>
    <w:rsid w:val="000F0402"/>
    <w:rsid w:val="000F5917"/>
    <w:rsid w:val="001014EB"/>
    <w:rsid w:val="001046A7"/>
    <w:rsid w:val="001147C0"/>
    <w:rsid w:val="00114F64"/>
    <w:rsid w:val="00115FF4"/>
    <w:rsid w:val="00121D50"/>
    <w:rsid w:val="00122ACA"/>
    <w:rsid w:val="00123136"/>
    <w:rsid w:val="0012387A"/>
    <w:rsid w:val="00123A98"/>
    <w:rsid w:val="0013141E"/>
    <w:rsid w:val="00140617"/>
    <w:rsid w:val="0014214C"/>
    <w:rsid w:val="001465A5"/>
    <w:rsid w:val="00150A7D"/>
    <w:rsid w:val="00150FD9"/>
    <w:rsid w:val="00152853"/>
    <w:rsid w:val="001540C6"/>
    <w:rsid w:val="00154184"/>
    <w:rsid w:val="00155DFD"/>
    <w:rsid w:val="00160B92"/>
    <w:rsid w:val="001617BA"/>
    <w:rsid w:val="00165F7C"/>
    <w:rsid w:val="001711FA"/>
    <w:rsid w:val="00180B7A"/>
    <w:rsid w:val="00183474"/>
    <w:rsid w:val="001838D6"/>
    <w:rsid w:val="00184020"/>
    <w:rsid w:val="00185744"/>
    <w:rsid w:val="00190030"/>
    <w:rsid w:val="0019035D"/>
    <w:rsid w:val="0019156B"/>
    <w:rsid w:val="001A4959"/>
    <w:rsid w:val="001A7309"/>
    <w:rsid w:val="001A7CD3"/>
    <w:rsid w:val="001B21F8"/>
    <w:rsid w:val="001B5564"/>
    <w:rsid w:val="001C3DC4"/>
    <w:rsid w:val="001E3F58"/>
    <w:rsid w:val="001E4077"/>
    <w:rsid w:val="001E527F"/>
    <w:rsid w:val="001F20B7"/>
    <w:rsid w:val="001F2694"/>
    <w:rsid w:val="001F4FB0"/>
    <w:rsid w:val="001F787F"/>
    <w:rsid w:val="001F7CA1"/>
    <w:rsid w:val="00201D1D"/>
    <w:rsid w:val="002033D4"/>
    <w:rsid w:val="002035B0"/>
    <w:rsid w:val="00207907"/>
    <w:rsid w:val="0021042D"/>
    <w:rsid w:val="00212B9F"/>
    <w:rsid w:val="0021385B"/>
    <w:rsid w:val="00222124"/>
    <w:rsid w:val="00223A39"/>
    <w:rsid w:val="00240089"/>
    <w:rsid w:val="00247D77"/>
    <w:rsid w:val="00260F1A"/>
    <w:rsid w:val="00263205"/>
    <w:rsid w:val="00264015"/>
    <w:rsid w:val="0027473C"/>
    <w:rsid w:val="00275D1E"/>
    <w:rsid w:val="00277CCC"/>
    <w:rsid w:val="002966A6"/>
    <w:rsid w:val="002A1973"/>
    <w:rsid w:val="002A2183"/>
    <w:rsid w:val="002A3D40"/>
    <w:rsid w:val="002A6E59"/>
    <w:rsid w:val="002C045C"/>
    <w:rsid w:val="002C12F0"/>
    <w:rsid w:val="002C306E"/>
    <w:rsid w:val="002C4FE7"/>
    <w:rsid w:val="002D30EE"/>
    <w:rsid w:val="002D3FB1"/>
    <w:rsid w:val="002D42B9"/>
    <w:rsid w:val="002E5B9E"/>
    <w:rsid w:val="002E6DAF"/>
    <w:rsid w:val="002E7A10"/>
    <w:rsid w:val="002F443A"/>
    <w:rsid w:val="00306470"/>
    <w:rsid w:val="0031158B"/>
    <w:rsid w:val="00313784"/>
    <w:rsid w:val="003143BB"/>
    <w:rsid w:val="00315A0C"/>
    <w:rsid w:val="00320F88"/>
    <w:rsid w:val="0032190F"/>
    <w:rsid w:val="003260A7"/>
    <w:rsid w:val="00326328"/>
    <w:rsid w:val="00330EB7"/>
    <w:rsid w:val="00333F04"/>
    <w:rsid w:val="00334D72"/>
    <w:rsid w:val="003414FE"/>
    <w:rsid w:val="00342798"/>
    <w:rsid w:val="00350D72"/>
    <w:rsid w:val="00351DED"/>
    <w:rsid w:val="00354EF6"/>
    <w:rsid w:val="0035793A"/>
    <w:rsid w:val="003605F3"/>
    <w:rsid w:val="0036134E"/>
    <w:rsid w:val="00366712"/>
    <w:rsid w:val="003707A4"/>
    <w:rsid w:val="00371ABC"/>
    <w:rsid w:val="00373B4A"/>
    <w:rsid w:val="00373BE3"/>
    <w:rsid w:val="003810F0"/>
    <w:rsid w:val="00385852"/>
    <w:rsid w:val="00386217"/>
    <w:rsid w:val="00387BC6"/>
    <w:rsid w:val="00390872"/>
    <w:rsid w:val="0039104B"/>
    <w:rsid w:val="003977B6"/>
    <w:rsid w:val="00397F7D"/>
    <w:rsid w:val="003A043D"/>
    <w:rsid w:val="003A1C1E"/>
    <w:rsid w:val="003A47B8"/>
    <w:rsid w:val="003A4B8E"/>
    <w:rsid w:val="003A5487"/>
    <w:rsid w:val="003B267C"/>
    <w:rsid w:val="003B347F"/>
    <w:rsid w:val="003B502C"/>
    <w:rsid w:val="003B54CD"/>
    <w:rsid w:val="003C04F7"/>
    <w:rsid w:val="003C0BB9"/>
    <w:rsid w:val="003C0DCA"/>
    <w:rsid w:val="003C16F0"/>
    <w:rsid w:val="003C608A"/>
    <w:rsid w:val="003C799F"/>
    <w:rsid w:val="003C7C47"/>
    <w:rsid w:val="003D4AA1"/>
    <w:rsid w:val="003D5AD3"/>
    <w:rsid w:val="003D6AAC"/>
    <w:rsid w:val="003E4650"/>
    <w:rsid w:val="003E5E7B"/>
    <w:rsid w:val="003F097B"/>
    <w:rsid w:val="003F174B"/>
    <w:rsid w:val="003F69AB"/>
    <w:rsid w:val="00406507"/>
    <w:rsid w:val="004153D3"/>
    <w:rsid w:val="0041676C"/>
    <w:rsid w:val="00426DA6"/>
    <w:rsid w:val="00427382"/>
    <w:rsid w:val="0043390B"/>
    <w:rsid w:val="00435FB1"/>
    <w:rsid w:val="00435FF1"/>
    <w:rsid w:val="00444D4D"/>
    <w:rsid w:val="004462E7"/>
    <w:rsid w:val="004539B1"/>
    <w:rsid w:val="0045489C"/>
    <w:rsid w:val="00456646"/>
    <w:rsid w:val="0046132F"/>
    <w:rsid w:val="00463B99"/>
    <w:rsid w:val="00480F8D"/>
    <w:rsid w:val="004913F1"/>
    <w:rsid w:val="00493170"/>
    <w:rsid w:val="00494F9B"/>
    <w:rsid w:val="00497583"/>
    <w:rsid w:val="004978DF"/>
    <w:rsid w:val="004A0E32"/>
    <w:rsid w:val="004A72E0"/>
    <w:rsid w:val="004A7884"/>
    <w:rsid w:val="004B50F5"/>
    <w:rsid w:val="004B5FD2"/>
    <w:rsid w:val="004B7D9B"/>
    <w:rsid w:val="004C38F4"/>
    <w:rsid w:val="004C3AF3"/>
    <w:rsid w:val="004C656F"/>
    <w:rsid w:val="004D2618"/>
    <w:rsid w:val="004D271C"/>
    <w:rsid w:val="004D43F4"/>
    <w:rsid w:val="004D7267"/>
    <w:rsid w:val="004E3819"/>
    <w:rsid w:val="004E4221"/>
    <w:rsid w:val="004E4FEC"/>
    <w:rsid w:val="004E73DC"/>
    <w:rsid w:val="004F0888"/>
    <w:rsid w:val="00502F62"/>
    <w:rsid w:val="0050418A"/>
    <w:rsid w:val="00505486"/>
    <w:rsid w:val="005161BB"/>
    <w:rsid w:val="00516AF6"/>
    <w:rsid w:val="00517C6F"/>
    <w:rsid w:val="00521879"/>
    <w:rsid w:val="00523B0C"/>
    <w:rsid w:val="00524140"/>
    <w:rsid w:val="005334D7"/>
    <w:rsid w:val="00540F78"/>
    <w:rsid w:val="005418AA"/>
    <w:rsid w:val="00542023"/>
    <w:rsid w:val="00554528"/>
    <w:rsid w:val="00555F68"/>
    <w:rsid w:val="00560B5D"/>
    <w:rsid w:val="005679DD"/>
    <w:rsid w:val="00576140"/>
    <w:rsid w:val="0057620B"/>
    <w:rsid w:val="00580FE3"/>
    <w:rsid w:val="00582B67"/>
    <w:rsid w:val="00586406"/>
    <w:rsid w:val="00590918"/>
    <w:rsid w:val="00591D7A"/>
    <w:rsid w:val="005A6115"/>
    <w:rsid w:val="005A6401"/>
    <w:rsid w:val="005A74EA"/>
    <w:rsid w:val="005B033C"/>
    <w:rsid w:val="005B0823"/>
    <w:rsid w:val="005B0F20"/>
    <w:rsid w:val="005B5B05"/>
    <w:rsid w:val="005C71AA"/>
    <w:rsid w:val="005D0C54"/>
    <w:rsid w:val="005D3FB5"/>
    <w:rsid w:val="005D4B12"/>
    <w:rsid w:val="005D5C12"/>
    <w:rsid w:val="005D7B84"/>
    <w:rsid w:val="005E0FB6"/>
    <w:rsid w:val="005E1D32"/>
    <w:rsid w:val="005E4F9A"/>
    <w:rsid w:val="005E717A"/>
    <w:rsid w:val="005F01DA"/>
    <w:rsid w:val="005F0D08"/>
    <w:rsid w:val="005F6B56"/>
    <w:rsid w:val="00601780"/>
    <w:rsid w:val="006150E3"/>
    <w:rsid w:val="006169E1"/>
    <w:rsid w:val="00617C7C"/>
    <w:rsid w:val="00620CAF"/>
    <w:rsid w:val="0062660D"/>
    <w:rsid w:val="00630415"/>
    <w:rsid w:val="00632149"/>
    <w:rsid w:val="00636B92"/>
    <w:rsid w:val="00636E34"/>
    <w:rsid w:val="006375AF"/>
    <w:rsid w:val="00637AF5"/>
    <w:rsid w:val="00640968"/>
    <w:rsid w:val="006413E2"/>
    <w:rsid w:val="0064171C"/>
    <w:rsid w:val="00652AB3"/>
    <w:rsid w:val="00654064"/>
    <w:rsid w:val="006610EF"/>
    <w:rsid w:val="006626B3"/>
    <w:rsid w:val="00666284"/>
    <w:rsid w:val="00667847"/>
    <w:rsid w:val="00673D6D"/>
    <w:rsid w:val="00676585"/>
    <w:rsid w:val="00676C5D"/>
    <w:rsid w:val="00683711"/>
    <w:rsid w:val="00686313"/>
    <w:rsid w:val="006863FF"/>
    <w:rsid w:val="0068687D"/>
    <w:rsid w:val="00687E6C"/>
    <w:rsid w:val="00690F14"/>
    <w:rsid w:val="00693272"/>
    <w:rsid w:val="00696EF7"/>
    <w:rsid w:val="006A3ADB"/>
    <w:rsid w:val="006A5D76"/>
    <w:rsid w:val="006A7CC9"/>
    <w:rsid w:val="006B1BC0"/>
    <w:rsid w:val="006B435A"/>
    <w:rsid w:val="006B597F"/>
    <w:rsid w:val="006B5FA1"/>
    <w:rsid w:val="006B7245"/>
    <w:rsid w:val="006C328C"/>
    <w:rsid w:val="006C34EF"/>
    <w:rsid w:val="006C5F4B"/>
    <w:rsid w:val="006C7BC0"/>
    <w:rsid w:val="006D0EAC"/>
    <w:rsid w:val="006D1D9D"/>
    <w:rsid w:val="006D2D26"/>
    <w:rsid w:val="006D7E19"/>
    <w:rsid w:val="006E340B"/>
    <w:rsid w:val="006E3485"/>
    <w:rsid w:val="006E75F9"/>
    <w:rsid w:val="006E77F1"/>
    <w:rsid w:val="006F13E5"/>
    <w:rsid w:val="006F1C8C"/>
    <w:rsid w:val="006F1D0D"/>
    <w:rsid w:val="006F24F2"/>
    <w:rsid w:val="006F383F"/>
    <w:rsid w:val="0070000F"/>
    <w:rsid w:val="00700634"/>
    <w:rsid w:val="00701F41"/>
    <w:rsid w:val="00703FF3"/>
    <w:rsid w:val="00707B58"/>
    <w:rsid w:val="007109E6"/>
    <w:rsid w:val="00710C3B"/>
    <w:rsid w:val="0071407E"/>
    <w:rsid w:val="00723B25"/>
    <w:rsid w:val="00730DC0"/>
    <w:rsid w:val="0073362F"/>
    <w:rsid w:val="0073466C"/>
    <w:rsid w:val="0073545D"/>
    <w:rsid w:val="00740B97"/>
    <w:rsid w:val="00740D72"/>
    <w:rsid w:val="0074163D"/>
    <w:rsid w:val="007454A6"/>
    <w:rsid w:val="00746C3C"/>
    <w:rsid w:val="00746DB0"/>
    <w:rsid w:val="0074740E"/>
    <w:rsid w:val="007522F9"/>
    <w:rsid w:val="00763BF7"/>
    <w:rsid w:val="0076484A"/>
    <w:rsid w:val="00765874"/>
    <w:rsid w:val="007734A4"/>
    <w:rsid w:val="007738C6"/>
    <w:rsid w:val="00774427"/>
    <w:rsid w:val="00775BED"/>
    <w:rsid w:val="00780AC3"/>
    <w:rsid w:val="00783891"/>
    <w:rsid w:val="00783CEF"/>
    <w:rsid w:val="00786A03"/>
    <w:rsid w:val="00787377"/>
    <w:rsid w:val="007873BC"/>
    <w:rsid w:val="007928C3"/>
    <w:rsid w:val="00796CE0"/>
    <w:rsid w:val="00797FFC"/>
    <w:rsid w:val="007A02BB"/>
    <w:rsid w:val="007A7BF9"/>
    <w:rsid w:val="007B1FBD"/>
    <w:rsid w:val="007B3006"/>
    <w:rsid w:val="007B5B7D"/>
    <w:rsid w:val="007C1041"/>
    <w:rsid w:val="007C227B"/>
    <w:rsid w:val="007C28CF"/>
    <w:rsid w:val="007C6E5C"/>
    <w:rsid w:val="007C7094"/>
    <w:rsid w:val="007C7A14"/>
    <w:rsid w:val="007D17AF"/>
    <w:rsid w:val="007D33EA"/>
    <w:rsid w:val="007D3AE6"/>
    <w:rsid w:val="007E0620"/>
    <w:rsid w:val="007E38CE"/>
    <w:rsid w:val="007F411A"/>
    <w:rsid w:val="007F53B3"/>
    <w:rsid w:val="007F7F0D"/>
    <w:rsid w:val="00801DCF"/>
    <w:rsid w:val="008137E5"/>
    <w:rsid w:val="00823DE4"/>
    <w:rsid w:val="00825C3A"/>
    <w:rsid w:val="00825DFA"/>
    <w:rsid w:val="008278CE"/>
    <w:rsid w:val="00830C58"/>
    <w:rsid w:val="0083439B"/>
    <w:rsid w:val="00835115"/>
    <w:rsid w:val="008420ED"/>
    <w:rsid w:val="008447A3"/>
    <w:rsid w:val="00846165"/>
    <w:rsid w:val="00846F8D"/>
    <w:rsid w:val="00847346"/>
    <w:rsid w:val="00847681"/>
    <w:rsid w:val="00854C2F"/>
    <w:rsid w:val="00854E22"/>
    <w:rsid w:val="00857233"/>
    <w:rsid w:val="00864FB3"/>
    <w:rsid w:val="00865212"/>
    <w:rsid w:val="008660D8"/>
    <w:rsid w:val="008666FD"/>
    <w:rsid w:val="008704B9"/>
    <w:rsid w:val="008709DF"/>
    <w:rsid w:val="00872E14"/>
    <w:rsid w:val="00877D79"/>
    <w:rsid w:val="00884159"/>
    <w:rsid w:val="0089130B"/>
    <w:rsid w:val="00892CD1"/>
    <w:rsid w:val="00893E4A"/>
    <w:rsid w:val="00895095"/>
    <w:rsid w:val="008A322D"/>
    <w:rsid w:val="008A36B8"/>
    <w:rsid w:val="008A3F0C"/>
    <w:rsid w:val="008A54D3"/>
    <w:rsid w:val="008B3F2C"/>
    <w:rsid w:val="008B5EB4"/>
    <w:rsid w:val="008C00F6"/>
    <w:rsid w:val="008C2677"/>
    <w:rsid w:val="008C4BBA"/>
    <w:rsid w:val="008D4C62"/>
    <w:rsid w:val="008D58D4"/>
    <w:rsid w:val="008E4A19"/>
    <w:rsid w:val="008E4A9F"/>
    <w:rsid w:val="008E6C47"/>
    <w:rsid w:val="008F13D8"/>
    <w:rsid w:val="008F2B4E"/>
    <w:rsid w:val="008F3D7D"/>
    <w:rsid w:val="008F4686"/>
    <w:rsid w:val="008F68D3"/>
    <w:rsid w:val="00903426"/>
    <w:rsid w:val="0091425A"/>
    <w:rsid w:val="00916869"/>
    <w:rsid w:val="00920ED9"/>
    <w:rsid w:val="00925EB4"/>
    <w:rsid w:val="00926F53"/>
    <w:rsid w:val="00927589"/>
    <w:rsid w:val="00935639"/>
    <w:rsid w:val="00936B2E"/>
    <w:rsid w:val="00937514"/>
    <w:rsid w:val="00943F99"/>
    <w:rsid w:val="0094486C"/>
    <w:rsid w:val="00944AF5"/>
    <w:rsid w:val="0094643A"/>
    <w:rsid w:val="00950395"/>
    <w:rsid w:val="00952FAE"/>
    <w:rsid w:val="009557D5"/>
    <w:rsid w:val="0096253C"/>
    <w:rsid w:val="00970108"/>
    <w:rsid w:val="009726CB"/>
    <w:rsid w:val="00980E5F"/>
    <w:rsid w:val="00984A61"/>
    <w:rsid w:val="00985099"/>
    <w:rsid w:val="00996466"/>
    <w:rsid w:val="00997A78"/>
    <w:rsid w:val="009A1263"/>
    <w:rsid w:val="009A24AB"/>
    <w:rsid w:val="009A3924"/>
    <w:rsid w:val="009B0482"/>
    <w:rsid w:val="009B12B7"/>
    <w:rsid w:val="009B5502"/>
    <w:rsid w:val="009B564E"/>
    <w:rsid w:val="009B6E38"/>
    <w:rsid w:val="009C2483"/>
    <w:rsid w:val="009C49AD"/>
    <w:rsid w:val="009C5D7F"/>
    <w:rsid w:val="009D058A"/>
    <w:rsid w:val="009D2A37"/>
    <w:rsid w:val="009E3C1D"/>
    <w:rsid w:val="009E7406"/>
    <w:rsid w:val="009F07C6"/>
    <w:rsid w:val="009F3E62"/>
    <w:rsid w:val="009F46D9"/>
    <w:rsid w:val="009F4797"/>
    <w:rsid w:val="009F7D42"/>
    <w:rsid w:val="009F7D4F"/>
    <w:rsid w:val="00A0203F"/>
    <w:rsid w:val="00A03595"/>
    <w:rsid w:val="00A12A95"/>
    <w:rsid w:val="00A132E2"/>
    <w:rsid w:val="00A1526B"/>
    <w:rsid w:val="00A167B6"/>
    <w:rsid w:val="00A17EA1"/>
    <w:rsid w:val="00A2398C"/>
    <w:rsid w:val="00A30244"/>
    <w:rsid w:val="00A32F3E"/>
    <w:rsid w:val="00A3317F"/>
    <w:rsid w:val="00A340EE"/>
    <w:rsid w:val="00A41DFC"/>
    <w:rsid w:val="00A42D18"/>
    <w:rsid w:val="00A47144"/>
    <w:rsid w:val="00A5260C"/>
    <w:rsid w:val="00A559CD"/>
    <w:rsid w:val="00A60809"/>
    <w:rsid w:val="00A63BAE"/>
    <w:rsid w:val="00A649C3"/>
    <w:rsid w:val="00A7027F"/>
    <w:rsid w:val="00A752BB"/>
    <w:rsid w:val="00A80AD1"/>
    <w:rsid w:val="00A81976"/>
    <w:rsid w:val="00A81A4E"/>
    <w:rsid w:val="00A83765"/>
    <w:rsid w:val="00A8481D"/>
    <w:rsid w:val="00A85D7F"/>
    <w:rsid w:val="00A91231"/>
    <w:rsid w:val="00A912AD"/>
    <w:rsid w:val="00A9187A"/>
    <w:rsid w:val="00A9368D"/>
    <w:rsid w:val="00A95ABC"/>
    <w:rsid w:val="00AA42E0"/>
    <w:rsid w:val="00AA5C80"/>
    <w:rsid w:val="00AA643D"/>
    <w:rsid w:val="00AA656D"/>
    <w:rsid w:val="00AA6778"/>
    <w:rsid w:val="00AB1C1B"/>
    <w:rsid w:val="00AB6D94"/>
    <w:rsid w:val="00AC17AE"/>
    <w:rsid w:val="00AC1BC1"/>
    <w:rsid w:val="00AD5240"/>
    <w:rsid w:val="00AD53EA"/>
    <w:rsid w:val="00AE7B1D"/>
    <w:rsid w:val="00AF3B2F"/>
    <w:rsid w:val="00AF5F1B"/>
    <w:rsid w:val="00AF710D"/>
    <w:rsid w:val="00AF774C"/>
    <w:rsid w:val="00B0215B"/>
    <w:rsid w:val="00B031A3"/>
    <w:rsid w:val="00B06D6D"/>
    <w:rsid w:val="00B075F9"/>
    <w:rsid w:val="00B10EC0"/>
    <w:rsid w:val="00B129DF"/>
    <w:rsid w:val="00B2148D"/>
    <w:rsid w:val="00B21B3F"/>
    <w:rsid w:val="00B224FD"/>
    <w:rsid w:val="00B31C53"/>
    <w:rsid w:val="00B32620"/>
    <w:rsid w:val="00B34BC1"/>
    <w:rsid w:val="00B34CE0"/>
    <w:rsid w:val="00B44807"/>
    <w:rsid w:val="00B44F7B"/>
    <w:rsid w:val="00B512CB"/>
    <w:rsid w:val="00B54AE3"/>
    <w:rsid w:val="00B54D31"/>
    <w:rsid w:val="00B55C0A"/>
    <w:rsid w:val="00B64010"/>
    <w:rsid w:val="00B76A79"/>
    <w:rsid w:val="00B76E46"/>
    <w:rsid w:val="00B77B31"/>
    <w:rsid w:val="00B825A7"/>
    <w:rsid w:val="00B84B94"/>
    <w:rsid w:val="00B85C95"/>
    <w:rsid w:val="00B9446A"/>
    <w:rsid w:val="00B9491A"/>
    <w:rsid w:val="00B94DA8"/>
    <w:rsid w:val="00B955DA"/>
    <w:rsid w:val="00B97F67"/>
    <w:rsid w:val="00BA01B7"/>
    <w:rsid w:val="00BA1C94"/>
    <w:rsid w:val="00BA4DC6"/>
    <w:rsid w:val="00BA6B70"/>
    <w:rsid w:val="00BC01E4"/>
    <w:rsid w:val="00BC11CC"/>
    <w:rsid w:val="00BC1232"/>
    <w:rsid w:val="00BC2DF9"/>
    <w:rsid w:val="00BC6336"/>
    <w:rsid w:val="00BC7A2D"/>
    <w:rsid w:val="00BD2332"/>
    <w:rsid w:val="00BD2E59"/>
    <w:rsid w:val="00BE1BFE"/>
    <w:rsid w:val="00BE2F8A"/>
    <w:rsid w:val="00BE3935"/>
    <w:rsid w:val="00BE6C36"/>
    <w:rsid w:val="00BE7D8C"/>
    <w:rsid w:val="00BF2A3B"/>
    <w:rsid w:val="00BF460D"/>
    <w:rsid w:val="00C050C0"/>
    <w:rsid w:val="00C06266"/>
    <w:rsid w:val="00C06C27"/>
    <w:rsid w:val="00C13493"/>
    <w:rsid w:val="00C14BE1"/>
    <w:rsid w:val="00C2012B"/>
    <w:rsid w:val="00C251BF"/>
    <w:rsid w:val="00C262EA"/>
    <w:rsid w:val="00C2694C"/>
    <w:rsid w:val="00C30F37"/>
    <w:rsid w:val="00C33596"/>
    <w:rsid w:val="00C35444"/>
    <w:rsid w:val="00C359A5"/>
    <w:rsid w:val="00C36411"/>
    <w:rsid w:val="00C4474E"/>
    <w:rsid w:val="00C45C76"/>
    <w:rsid w:val="00C544B2"/>
    <w:rsid w:val="00C66AC8"/>
    <w:rsid w:val="00C6794D"/>
    <w:rsid w:val="00C73984"/>
    <w:rsid w:val="00C746AA"/>
    <w:rsid w:val="00C779B0"/>
    <w:rsid w:val="00C83074"/>
    <w:rsid w:val="00C83A45"/>
    <w:rsid w:val="00C90CD3"/>
    <w:rsid w:val="00C9723C"/>
    <w:rsid w:val="00CA3979"/>
    <w:rsid w:val="00CA6017"/>
    <w:rsid w:val="00CB5314"/>
    <w:rsid w:val="00CC11B3"/>
    <w:rsid w:val="00CC36C4"/>
    <w:rsid w:val="00CC5D65"/>
    <w:rsid w:val="00CC72F6"/>
    <w:rsid w:val="00CD053C"/>
    <w:rsid w:val="00CD6153"/>
    <w:rsid w:val="00CD64CA"/>
    <w:rsid w:val="00CE013C"/>
    <w:rsid w:val="00CE4E71"/>
    <w:rsid w:val="00CE6011"/>
    <w:rsid w:val="00CE7A3C"/>
    <w:rsid w:val="00CE7A73"/>
    <w:rsid w:val="00CF0035"/>
    <w:rsid w:val="00CF2B9E"/>
    <w:rsid w:val="00CF3E5A"/>
    <w:rsid w:val="00CF65A5"/>
    <w:rsid w:val="00CF7034"/>
    <w:rsid w:val="00CF76B7"/>
    <w:rsid w:val="00D0026C"/>
    <w:rsid w:val="00D00A16"/>
    <w:rsid w:val="00D041E1"/>
    <w:rsid w:val="00D067FD"/>
    <w:rsid w:val="00D07F54"/>
    <w:rsid w:val="00D1262E"/>
    <w:rsid w:val="00D2072B"/>
    <w:rsid w:val="00D248D2"/>
    <w:rsid w:val="00D24E63"/>
    <w:rsid w:val="00D25E2A"/>
    <w:rsid w:val="00D47046"/>
    <w:rsid w:val="00D50E6A"/>
    <w:rsid w:val="00D5268F"/>
    <w:rsid w:val="00D5314A"/>
    <w:rsid w:val="00D54E4F"/>
    <w:rsid w:val="00D55B22"/>
    <w:rsid w:val="00D55EA1"/>
    <w:rsid w:val="00D57F69"/>
    <w:rsid w:val="00D61748"/>
    <w:rsid w:val="00D62577"/>
    <w:rsid w:val="00D6580B"/>
    <w:rsid w:val="00D71710"/>
    <w:rsid w:val="00D734A6"/>
    <w:rsid w:val="00D74C19"/>
    <w:rsid w:val="00D8588D"/>
    <w:rsid w:val="00D86566"/>
    <w:rsid w:val="00DA10F4"/>
    <w:rsid w:val="00DA1BE2"/>
    <w:rsid w:val="00DA2414"/>
    <w:rsid w:val="00DA53BD"/>
    <w:rsid w:val="00DA5FB4"/>
    <w:rsid w:val="00DB6565"/>
    <w:rsid w:val="00DB668C"/>
    <w:rsid w:val="00DC02AB"/>
    <w:rsid w:val="00DC2237"/>
    <w:rsid w:val="00DD1344"/>
    <w:rsid w:val="00DD758F"/>
    <w:rsid w:val="00DE0147"/>
    <w:rsid w:val="00DE1FC5"/>
    <w:rsid w:val="00DE2705"/>
    <w:rsid w:val="00E03A19"/>
    <w:rsid w:val="00E040FA"/>
    <w:rsid w:val="00E119A9"/>
    <w:rsid w:val="00E1277D"/>
    <w:rsid w:val="00E1318B"/>
    <w:rsid w:val="00E14549"/>
    <w:rsid w:val="00E22F5A"/>
    <w:rsid w:val="00E230B4"/>
    <w:rsid w:val="00E23A3E"/>
    <w:rsid w:val="00E23D9F"/>
    <w:rsid w:val="00E30E45"/>
    <w:rsid w:val="00E33048"/>
    <w:rsid w:val="00E3764E"/>
    <w:rsid w:val="00E4688F"/>
    <w:rsid w:val="00E5034A"/>
    <w:rsid w:val="00E51213"/>
    <w:rsid w:val="00E52E9F"/>
    <w:rsid w:val="00E56ADB"/>
    <w:rsid w:val="00E70EC7"/>
    <w:rsid w:val="00E71049"/>
    <w:rsid w:val="00E720D7"/>
    <w:rsid w:val="00E7210D"/>
    <w:rsid w:val="00E76DC5"/>
    <w:rsid w:val="00E80DBF"/>
    <w:rsid w:val="00E82B5C"/>
    <w:rsid w:val="00E83B43"/>
    <w:rsid w:val="00E92994"/>
    <w:rsid w:val="00E9597E"/>
    <w:rsid w:val="00EA173A"/>
    <w:rsid w:val="00EA243A"/>
    <w:rsid w:val="00EA63D8"/>
    <w:rsid w:val="00EA6B4C"/>
    <w:rsid w:val="00EA70AD"/>
    <w:rsid w:val="00EC022B"/>
    <w:rsid w:val="00EC072F"/>
    <w:rsid w:val="00EC1D36"/>
    <w:rsid w:val="00EC36A4"/>
    <w:rsid w:val="00EC4E82"/>
    <w:rsid w:val="00ED0B2D"/>
    <w:rsid w:val="00ED19B1"/>
    <w:rsid w:val="00EE28E1"/>
    <w:rsid w:val="00EE2933"/>
    <w:rsid w:val="00EE773F"/>
    <w:rsid w:val="00EF4C55"/>
    <w:rsid w:val="00EF58BE"/>
    <w:rsid w:val="00EF5F0F"/>
    <w:rsid w:val="00EF7B7B"/>
    <w:rsid w:val="00F01FE0"/>
    <w:rsid w:val="00F02920"/>
    <w:rsid w:val="00F03734"/>
    <w:rsid w:val="00F05C2E"/>
    <w:rsid w:val="00F06B96"/>
    <w:rsid w:val="00F06CDE"/>
    <w:rsid w:val="00F1064A"/>
    <w:rsid w:val="00F1350B"/>
    <w:rsid w:val="00F22157"/>
    <w:rsid w:val="00F36545"/>
    <w:rsid w:val="00F42416"/>
    <w:rsid w:val="00F43647"/>
    <w:rsid w:val="00F4508B"/>
    <w:rsid w:val="00F51755"/>
    <w:rsid w:val="00F538D3"/>
    <w:rsid w:val="00F6274C"/>
    <w:rsid w:val="00F636DD"/>
    <w:rsid w:val="00F64827"/>
    <w:rsid w:val="00F86B35"/>
    <w:rsid w:val="00F920F8"/>
    <w:rsid w:val="00F93177"/>
    <w:rsid w:val="00FA4062"/>
    <w:rsid w:val="00FA4610"/>
    <w:rsid w:val="00FA6B45"/>
    <w:rsid w:val="00FA7BCE"/>
    <w:rsid w:val="00FB1184"/>
    <w:rsid w:val="00FB513B"/>
    <w:rsid w:val="00FC06BE"/>
    <w:rsid w:val="00FC6E01"/>
    <w:rsid w:val="00FD231C"/>
    <w:rsid w:val="00FD5BE6"/>
    <w:rsid w:val="00FD71FC"/>
    <w:rsid w:val="00FD7E38"/>
    <w:rsid w:val="00FE32C0"/>
    <w:rsid w:val="00FE6F22"/>
    <w:rsid w:val="00FF159A"/>
    <w:rsid w:val="00FF3721"/>
    <w:rsid w:val="00FF3904"/>
    <w:rsid w:val="00FF3C62"/>
    <w:rsid w:val="00FF72CC"/>
    <w:rsid w:val="00FF7D38"/>
    <w:rsid w:val="3BD538F5"/>
    <w:rsid w:val="5F56F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39B"/>
    <w:pPr>
      <w:ind w:left="720"/>
      <w:contextualSpacing/>
    </w:pPr>
  </w:style>
  <w:style w:type="character" w:styleId="Hyperlink">
    <w:name w:val="Hyperlink"/>
    <w:basedOn w:val="DefaultParagraphFont"/>
    <w:uiPriority w:val="99"/>
    <w:unhideWhenUsed/>
    <w:rsid w:val="00BC6336"/>
    <w:rPr>
      <w:color w:val="0000FF" w:themeColor="hyperlink"/>
      <w:u w:val="single"/>
    </w:rPr>
  </w:style>
  <w:style w:type="paragraph" w:styleId="FootnoteText">
    <w:name w:val="footnote text"/>
    <w:basedOn w:val="Normal"/>
    <w:link w:val="FootnoteTextChar"/>
    <w:uiPriority w:val="99"/>
    <w:unhideWhenUsed/>
    <w:rsid w:val="00A2398C"/>
    <w:pPr>
      <w:spacing w:after="0" w:line="240" w:lineRule="auto"/>
    </w:pPr>
    <w:rPr>
      <w:sz w:val="20"/>
      <w:szCs w:val="20"/>
    </w:rPr>
  </w:style>
  <w:style w:type="character" w:customStyle="1" w:styleId="FootnoteTextChar">
    <w:name w:val="Footnote Text Char"/>
    <w:basedOn w:val="DefaultParagraphFont"/>
    <w:link w:val="FootnoteText"/>
    <w:uiPriority w:val="99"/>
    <w:rsid w:val="00A2398C"/>
    <w:rPr>
      <w:sz w:val="20"/>
      <w:szCs w:val="20"/>
    </w:rPr>
  </w:style>
  <w:style w:type="character" w:styleId="FootnoteReference">
    <w:name w:val="footnote reference"/>
    <w:basedOn w:val="DefaultParagraphFont"/>
    <w:unhideWhenUsed/>
    <w:rsid w:val="00A2398C"/>
    <w:rPr>
      <w:vertAlign w:val="superscript"/>
    </w:rPr>
  </w:style>
  <w:style w:type="character" w:styleId="Emphasis">
    <w:name w:val="Emphasis"/>
    <w:basedOn w:val="DefaultParagraphFont"/>
    <w:uiPriority w:val="20"/>
    <w:qFormat/>
    <w:rsid w:val="000C65D0"/>
    <w:rPr>
      <w:i/>
      <w:iCs/>
    </w:rPr>
  </w:style>
  <w:style w:type="paragraph" w:customStyle="1" w:styleId="Default">
    <w:name w:val="Default"/>
    <w:rsid w:val="00586406"/>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unhideWhenUsed/>
    <w:rsid w:val="00086928"/>
    <w:pPr>
      <w:spacing w:after="0" w:line="240" w:lineRule="auto"/>
    </w:pPr>
    <w:rPr>
      <w:sz w:val="20"/>
      <w:szCs w:val="20"/>
    </w:rPr>
  </w:style>
  <w:style w:type="character" w:customStyle="1" w:styleId="EndnoteTextChar">
    <w:name w:val="Endnote Text Char"/>
    <w:basedOn w:val="DefaultParagraphFont"/>
    <w:link w:val="EndnoteText"/>
    <w:uiPriority w:val="99"/>
    <w:rsid w:val="00086928"/>
    <w:rPr>
      <w:sz w:val="20"/>
      <w:szCs w:val="20"/>
    </w:rPr>
  </w:style>
  <w:style w:type="character" w:styleId="EndnoteReference">
    <w:name w:val="endnote reference"/>
    <w:basedOn w:val="DefaultParagraphFont"/>
    <w:uiPriority w:val="99"/>
    <w:semiHidden/>
    <w:unhideWhenUsed/>
    <w:rsid w:val="00086928"/>
    <w:rPr>
      <w:vertAlign w:val="superscript"/>
    </w:rPr>
  </w:style>
  <w:style w:type="paragraph" w:styleId="BalloonText">
    <w:name w:val="Balloon Text"/>
    <w:basedOn w:val="Normal"/>
    <w:link w:val="BalloonTextChar"/>
    <w:uiPriority w:val="99"/>
    <w:semiHidden/>
    <w:unhideWhenUsed/>
    <w:rsid w:val="00BD2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E59"/>
    <w:rPr>
      <w:rFonts w:ascii="Tahoma" w:hAnsi="Tahoma" w:cs="Tahoma"/>
      <w:sz w:val="16"/>
      <w:szCs w:val="16"/>
    </w:rPr>
  </w:style>
  <w:style w:type="character" w:styleId="CommentReference">
    <w:name w:val="annotation reference"/>
    <w:basedOn w:val="DefaultParagraphFont"/>
    <w:uiPriority w:val="99"/>
    <w:semiHidden/>
    <w:unhideWhenUsed/>
    <w:rsid w:val="00BD2E59"/>
    <w:rPr>
      <w:sz w:val="16"/>
      <w:szCs w:val="16"/>
    </w:rPr>
  </w:style>
  <w:style w:type="paragraph" w:styleId="CommentText">
    <w:name w:val="annotation text"/>
    <w:basedOn w:val="Normal"/>
    <w:link w:val="CommentTextChar"/>
    <w:uiPriority w:val="99"/>
    <w:semiHidden/>
    <w:unhideWhenUsed/>
    <w:rsid w:val="00BD2E59"/>
    <w:pPr>
      <w:spacing w:line="240" w:lineRule="auto"/>
    </w:pPr>
    <w:rPr>
      <w:sz w:val="20"/>
      <w:szCs w:val="20"/>
    </w:rPr>
  </w:style>
  <w:style w:type="character" w:customStyle="1" w:styleId="CommentTextChar">
    <w:name w:val="Comment Text Char"/>
    <w:basedOn w:val="DefaultParagraphFont"/>
    <w:link w:val="CommentText"/>
    <w:uiPriority w:val="99"/>
    <w:semiHidden/>
    <w:rsid w:val="00BD2E59"/>
    <w:rPr>
      <w:sz w:val="20"/>
      <w:szCs w:val="20"/>
    </w:rPr>
  </w:style>
  <w:style w:type="paragraph" w:styleId="CommentSubject">
    <w:name w:val="annotation subject"/>
    <w:basedOn w:val="CommentText"/>
    <w:next w:val="CommentText"/>
    <w:link w:val="CommentSubjectChar"/>
    <w:uiPriority w:val="99"/>
    <w:semiHidden/>
    <w:unhideWhenUsed/>
    <w:rsid w:val="00BD2E59"/>
    <w:rPr>
      <w:b/>
      <w:bCs/>
    </w:rPr>
  </w:style>
  <w:style w:type="character" w:customStyle="1" w:styleId="CommentSubjectChar">
    <w:name w:val="Comment Subject Char"/>
    <w:basedOn w:val="CommentTextChar"/>
    <w:link w:val="CommentSubject"/>
    <w:uiPriority w:val="99"/>
    <w:semiHidden/>
    <w:rsid w:val="00BD2E59"/>
    <w:rPr>
      <w:b/>
      <w:bCs/>
      <w:sz w:val="20"/>
      <w:szCs w:val="20"/>
    </w:rPr>
  </w:style>
  <w:style w:type="character" w:customStyle="1" w:styleId="Heading1Char">
    <w:name w:val="Heading 1 Char"/>
    <w:basedOn w:val="DefaultParagraphFont"/>
    <w:link w:val="Heading1"/>
    <w:uiPriority w:val="9"/>
    <w:rsid w:val="009C248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23DE4"/>
    <w:pPr>
      <w:spacing w:after="0" w:line="360" w:lineRule="auto"/>
      <w:jc w:val="both"/>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47046"/>
    <w:rPr>
      <w:color w:val="800080" w:themeColor="followedHyperlink"/>
      <w:u w:val="single"/>
    </w:rPr>
  </w:style>
  <w:style w:type="table" w:styleId="TableGrid">
    <w:name w:val="Table Grid"/>
    <w:basedOn w:val="TableNormal"/>
    <w:uiPriority w:val="59"/>
    <w:rsid w:val="00EC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165"/>
  </w:style>
  <w:style w:type="paragraph" w:styleId="Footer">
    <w:name w:val="footer"/>
    <w:basedOn w:val="Normal"/>
    <w:link w:val="FooterChar"/>
    <w:uiPriority w:val="99"/>
    <w:unhideWhenUsed/>
    <w:rsid w:val="00846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165"/>
  </w:style>
  <w:style w:type="character" w:styleId="PageNumber">
    <w:name w:val="page number"/>
    <w:basedOn w:val="DefaultParagraphFont"/>
    <w:uiPriority w:val="99"/>
    <w:unhideWhenUsed/>
    <w:rsid w:val="00846165"/>
  </w:style>
  <w:style w:type="paragraph" w:styleId="PlainText">
    <w:name w:val="Plain Text"/>
    <w:basedOn w:val="Normal"/>
    <w:link w:val="PlainTextChar"/>
    <w:uiPriority w:val="99"/>
    <w:semiHidden/>
    <w:unhideWhenUsed/>
    <w:rsid w:val="007109E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09E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39B"/>
    <w:pPr>
      <w:ind w:left="720"/>
      <w:contextualSpacing/>
    </w:pPr>
  </w:style>
  <w:style w:type="character" w:styleId="Hyperlink">
    <w:name w:val="Hyperlink"/>
    <w:basedOn w:val="DefaultParagraphFont"/>
    <w:uiPriority w:val="99"/>
    <w:unhideWhenUsed/>
    <w:rsid w:val="00BC6336"/>
    <w:rPr>
      <w:color w:val="0000FF" w:themeColor="hyperlink"/>
      <w:u w:val="single"/>
    </w:rPr>
  </w:style>
  <w:style w:type="paragraph" w:styleId="FootnoteText">
    <w:name w:val="footnote text"/>
    <w:basedOn w:val="Normal"/>
    <w:link w:val="FootnoteTextChar"/>
    <w:uiPriority w:val="99"/>
    <w:unhideWhenUsed/>
    <w:rsid w:val="00A2398C"/>
    <w:pPr>
      <w:spacing w:after="0" w:line="240" w:lineRule="auto"/>
    </w:pPr>
    <w:rPr>
      <w:sz w:val="20"/>
      <w:szCs w:val="20"/>
    </w:rPr>
  </w:style>
  <w:style w:type="character" w:customStyle="1" w:styleId="FootnoteTextChar">
    <w:name w:val="Footnote Text Char"/>
    <w:basedOn w:val="DefaultParagraphFont"/>
    <w:link w:val="FootnoteText"/>
    <w:uiPriority w:val="99"/>
    <w:rsid w:val="00A2398C"/>
    <w:rPr>
      <w:sz w:val="20"/>
      <w:szCs w:val="20"/>
    </w:rPr>
  </w:style>
  <w:style w:type="character" w:styleId="FootnoteReference">
    <w:name w:val="footnote reference"/>
    <w:basedOn w:val="DefaultParagraphFont"/>
    <w:unhideWhenUsed/>
    <w:rsid w:val="00A2398C"/>
    <w:rPr>
      <w:vertAlign w:val="superscript"/>
    </w:rPr>
  </w:style>
  <w:style w:type="character" w:styleId="Emphasis">
    <w:name w:val="Emphasis"/>
    <w:basedOn w:val="DefaultParagraphFont"/>
    <w:uiPriority w:val="20"/>
    <w:qFormat/>
    <w:rsid w:val="000C65D0"/>
    <w:rPr>
      <w:i/>
      <w:iCs/>
    </w:rPr>
  </w:style>
  <w:style w:type="paragraph" w:customStyle="1" w:styleId="Default">
    <w:name w:val="Default"/>
    <w:rsid w:val="00586406"/>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unhideWhenUsed/>
    <w:rsid w:val="00086928"/>
    <w:pPr>
      <w:spacing w:after="0" w:line="240" w:lineRule="auto"/>
    </w:pPr>
    <w:rPr>
      <w:sz w:val="20"/>
      <w:szCs w:val="20"/>
    </w:rPr>
  </w:style>
  <w:style w:type="character" w:customStyle="1" w:styleId="EndnoteTextChar">
    <w:name w:val="Endnote Text Char"/>
    <w:basedOn w:val="DefaultParagraphFont"/>
    <w:link w:val="EndnoteText"/>
    <w:uiPriority w:val="99"/>
    <w:rsid w:val="00086928"/>
    <w:rPr>
      <w:sz w:val="20"/>
      <w:szCs w:val="20"/>
    </w:rPr>
  </w:style>
  <w:style w:type="character" w:styleId="EndnoteReference">
    <w:name w:val="endnote reference"/>
    <w:basedOn w:val="DefaultParagraphFont"/>
    <w:uiPriority w:val="99"/>
    <w:semiHidden/>
    <w:unhideWhenUsed/>
    <w:rsid w:val="00086928"/>
    <w:rPr>
      <w:vertAlign w:val="superscript"/>
    </w:rPr>
  </w:style>
  <w:style w:type="paragraph" w:styleId="BalloonText">
    <w:name w:val="Balloon Text"/>
    <w:basedOn w:val="Normal"/>
    <w:link w:val="BalloonTextChar"/>
    <w:uiPriority w:val="99"/>
    <w:semiHidden/>
    <w:unhideWhenUsed/>
    <w:rsid w:val="00BD2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E59"/>
    <w:rPr>
      <w:rFonts w:ascii="Tahoma" w:hAnsi="Tahoma" w:cs="Tahoma"/>
      <w:sz w:val="16"/>
      <w:szCs w:val="16"/>
    </w:rPr>
  </w:style>
  <w:style w:type="character" w:styleId="CommentReference">
    <w:name w:val="annotation reference"/>
    <w:basedOn w:val="DefaultParagraphFont"/>
    <w:uiPriority w:val="99"/>
    <w:semiHidden/>
    <w:unhideWhenUsed/>
    <w:rsid w:val="00BD2E59"/>
    <w:rPr>
      <w:sz w:val="16"/>
      <w:szCs w:val="16"/>
    </w:rPr>
  </w:style>
  <w:style w:type="paragraph" w:styleId="CommentText">
    <w:name w:val="annotation text"/>
    <w:basedOn w:val="Normal"/>
    <w:link w:val="CommentTextChar"/>
    <w:uiPriority w:val="99"/>
    <w:semiHidden/>
    <w:unhideWhenUsed/>
    <w:rsid w:val="00BD2E59"/>
    <w:pPr>
      <w:spacing w:line="240" w:lineRule="auto"/>
    </w:pPr>
    <w:rPr>
      <w:sz w:val="20"/>
      <w:szCs w:val="20"/>
    </w:rPr>
  </w:style>
  <w:style w:type="character" w:customStyle="1" w:styleId="CommentTextChar">
    <w:name w:val="Comment Text Char"/>
    <w:basedOn w:val="DefaultParagraphFont"/>
    <w:link w:val="CommentText"/>
    <w:uiPriority w:val="99"/>
    <w:semiHidden/>
    <w:rsid w:val="00BD2E59"/>
    <w:rPr>
      <w:sz w:val="20"/>
      <w:szCs w:val="20"/>
    </w:rPr>
  </w:style>
  <w:style w:type="paragraph" w:styleId="CommentSubject">
    <w:name w:val="annotation subject"/>
    <w:basedOn w:val="CommentText"/>
    <w:next w:val="CommentText"/>
    <w:link w:val="CommentSubjectChar"/>
    <w:uiPriority w:val="99"/>
    <w:semiHidden/>
    <w:unhideWhenUsed/>
    <w:rsid w:val="00BD2E59"/>
    <w:rPr>
      <w:b/>
      <w:bCs/>
    </w:rPr>
  </w:style>
  <w:style w:type="character" w:customStyle="1" w:styleId="CommentSubjectChar">
    <w:name w:val="Comment Subject Char"/>
    <w:basedOn w:val="CommentTextChar"/>
    <w:link w:val="CommentSubject"/>
    <w:uiPriority w:val="99"/>
    <w:semiHidden/>
    <w:rsid w:val="00BD2E59"/>
    <w:rPr>
      <w:b/>
      <w:bCs/>
      <w:sz w:val="20"/>
      <w:szCs w:val="20"/>
    </w:rPr>
  </w:style>
  <w:style w:type="character" w:customStyle="1" w:styleId="Heading1Char">
    <w:name w:val="Heading 1 Char"/>
    <w:basedOn w:val="DefaultParagraphFont"/>
    <w:link w:val="Heading1"/>
    <w:uiPriority w:val="9"/>
    <w:rsid w:val="009C248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23DE4"/>
    <w:pPr>
      <w:spacing w:after="0" w:line="360" w:lineRule="auto"/>
      <w:jc w:val="both"/>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47046"/>
    <w:rPr>
      <w:color w:val="800080" w:themeColor="followedHyperlink"/>
      <w:u w:val="single"/>
    </w:rPr>
  </w:style>
  <w:style w:type="table" w:styleId="TableGrid">
    <w:name w:val="Table Grid"/>
    <w:basedOn w:val="TableNormal"/>
    <w:uiPriority w:val="59"/>
    <w:rsid w:val="00EC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165"/>
  </w:style>
  <w:style w:type="paragraph" w:styleId="Footer">
    <w:name w:val="footer"/>
    <w:basedOn w:val="Normal"/>
    <w:link w:val="FooterChar"/>
    <w:uiPriority w:val="99"/>
    <w:unhideWhenUsed/>
    <w:rsid w:val="00846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165"/>
  </w:style>
  <w:style w:type="character" w:styleId="PageNumber">
    <w:name w:val="page number"/>
    <w:basedOn w:val="DefaultParagraphFont"/>
    <w:uiPriority w:val="99"/>
    <w:unhideWhenUsed/>
    <w:rsid w:val="00846165"/>
  </w:style>
  <w:style w:type="paragraph" w:styleId="PlainText">
    <w:name w:val="Plain Text"/>
    <w:basedOn w:val="Normal"/>
    <w:link w:val="PlainTextChar"/>
    <w:uiPriority w:val="99"/>
    <w:semiHidden/>
    <w:unhideWhenUsed/>
    <w:rsid w:val="007109E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09E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867913">
      <w:bodyDiv w:val="1"/>
      <w:marLeft w:val="0"/>
      <w:marRight w:val="0"/>
      <w:marTop w:val="0"/>
      <w:marBottom w:val="0"/>
      <w:divBdr>
        <w:top w:val="none" w:sz="0" w:space="0" w:color="auto"/>
        <w:left w:val="none" w:sz="0" w:space="0" w:color="auto"/>
        <w:bottom w:val="none" w:sz="0" w:space="0" w:color="auto"/>
        <w:right w:val="none" w:sz="0" w:space="0" w:color="auto"/>
      </w:divBdr>
      <w:divsChild>
        <w:div w:id="2130584630">
          <w:marLeft w:val="0"/>
          <w:marRight w:val="0"/>
          <w:marTop w:val="0"/>
          <w:marBottom w:val="0"/>
          <w:divBdr>
            <w:top w:val="none" w:sz="0" w:space="0" w:color="auto"/>
            <w:left w:val="none" w:sz="0" w:space="0" w:color="auto"/>
            <w:bottom w:val="none" w:sz="0" w:space="0" w:color="auto"/>
            <w:right w:val="none" w:sz="0" w:space="0" w:color="auto"/>
          </w:divBdr>
          <w:divsChild>
            <w:div w:id="250165839">
              <w:marLeft w:val="0"/>
              <w:marRight w:val="0"/>
              <w:marTop w:val="0"/>
              <w:marBottom w:val="0"/>
              <w:divBdr>
                <w:top w:val="none" w:sz="0" w:space="0" w:color="auto"/>
                <w:left w:val="none" w:sz="0" w:space="0" w:color="auto"/>
                <w:bottom w:val="none" w:sz="0" w:space="0" w:color="auto"/>
                <w:right w:val="none" w:sz="0" w:space="0" w:color="auto"/>
              </w:divBdr>
              <w:divsChild>
                <w:div w:id="770704521">
                  <w:marLeft w:val="0"/>
                  <w:marRight w:val="0"/>
                  <w:marTop w:val="0"/>
                  <w:marBottom w:val="0"/>
                  <w:divBdr>
                    <w:top w:val="none" w:sz="0" w:space="0" w:color="auto"/>
                    <w:left w:val="none" w:sz="0" w:space="0" w:color="auto"/>
                    <w:bottom w:val="none" w:sz="0" w:space="0" w:color="auto"/>
                    <w:right w:val="none" w:sz="0" w:space="0" w:color="auto"/>
                  </w:divBdr>
                  <w:divsChild>
                    <w:div w:id="1998917821">
                      <w:marLeft w:val="0"/>
                      <w:marRight w:val="0"/>
                      <w:marTop w:val="0"/>
                      <w:marBottom w:val="0"/>
                      <w:divBdr>
                        <w:top w:val="none" w:sz="0" w:space="0" w:color="auto"/>
                        <w:left w:val="none" w:sz="0" w:space="0" w:color="auto"/>
                        <w:bottom w:val="none" w:sz="0" w:space="0" w:color="auto"/>
                        <w:right w:val="none" w:sz="0" w:space="0" w:color="auto"/>
                      </w:divBdr>
                      <w:divsChild>
                        <w:div w:id="1377004745">
                          <w:marLeft w:val="0"/>
                          <w:marRight w:val="0"/>
                          <w:marTop w:val="0"/>
                          <w:marBottom w:val="0"/>
                          <w:divBdr>
                            <w:top w:val="none" w:sz="0" w:space="0" w:color="auto"/>
                            <w:left w:val="none" w:sz="0" w:space="0" w:color="auto"/>
                            <w:bottom w:val="none" w:sz="0" w:space="0" w:color="auto"/>
                            <w:right w:val="none" w:sz="0" w:space="0" w:color="auto"/>
                          </w:divBdr>
                          <w:divsChild>
                            <w:div w:id="6855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centaur.reading.ac.uk/37744/" TargetMode="External"/><Relationship Id="rId3" Type="http://schemas.openxmlformats.org/officeDocument/2006/relationships/hyperlink" Target="http://www.europarl.europa.eu/oeil/popups/ficheprocedure.do?lang=en&amp;reference=2013/2044(INI)" TargetMode="External"/><Relationship Id="rId7" Type="http://schemas.openxmlformats.org/officeDocument/2006/relationships/hyperlink" Target="http://www.carers.org/sites/default/files/male_carers_research.pdf" TargetMode="External"/><Relationship Id="rId2" Type="http://schemas.openxmlformats.org/officeDocument/2006/relationships/hyperlink" Target="http://ec.europa.eu/economy_finance/publications/european_economy/2015/pdf/ee3_en.pdf" TargetMode="External"/><Relationship Id="rId1" Type="http://schemas.openxmlformats.org/officeDocument/2006/relationships/hyperlink" Target="mailto:ecdt1@le.ac.uk" TargetMode="External"/><Relationship Id="rId6" Type="http://schemas.openxmlformats.org/officeDocument/2006/relationships/hyperlink" Target="http://www.europarl.europa.eu/oeil/popups/ficheprocedure.do?lang=en&amp;reference=2013/2044(INI)" TargetMode="External"/><Relationship Id="rId5" Type="http://schemas.openxmlformats.org/officeDocument/2006/relationships/hyperlink" Target="http://ec.europa.eu/public_opinion/archives/ebs/ebs_283_en.pdf" TargetMode="External"/><Relationship Id="rId10" Type="http://schemas.openxmlformats.org/officeDocument/2006/relationships/hyperlink" Target="http://ec.europa.eu/dgs/health_consumer/dyna/borg/speeches_en.cfm" TargetMode="External"/><Relationship Id="rId4" Type="http://schemas.openxmlformats.org/officeDocument/2006/relationships/hyperlink" Target="http://ec.europa.eu/public_opinion/archives/ebs/ebs_283_en.pdf" TargetMode="External"/><Relationship Id="rId9" Type="http://schemas.openxmlformats.org/officeDocument/2006/relationships/hyperlink" Target="http://centaur.reading.ac.uk/37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74D53-D00D-439E-8A49-C1F9A64B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3735</Words>
  <Characters>21295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Annick Masselot</cp:lastModifiedBy>
  <cp:revision>2</cp:revision>
  <cp:lastPrinted>2015-06-20T12:48:00Z</cp:lastPrinted>
  <dcterms:created xsi:type="dcterms:W3CDTF">2015-06-21T21:27:00Z</dcterms:created>
  <dcterms:modified xsi:type="dcterms:W3CDTF">2015-06-21T21:27:00Z</dcterms:modified>
</cp:coreProperties>
</file>