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429" w:rsidRPr="006C7A7D" w:rsidRDefault="006C7A7D" w:rsidP="006C7A7D">
      <w:pPr>
        <w:ind w:left="720"/>
        <w:jc w:val="center"/>
        <w:rPr>
          <w:b/>
        </w:rPr>
      </w:pPr>
      <w:bookmarkStart w:id="0" w:name="_GoBack"/>
      <w:bookmarkEnd w:id="0"/>
      <w:r>
        <w:rPr>
          <w:b/>
        </w:rPr>
        <w:t>COVID-19 response in New Zealand</w:t>
      </w:r>
    </w:p>
    <w:p w:rsidR="006A2429" w:rsidRPr="006A2429" w:rsidRDefault="006A2429" w:rsidP="006A2429">
      <w:pPr>
        <w:rPr>
          <w:b/>
        </w:rPr>
      </w:pPr>
      <w:r>
        <w:rPr>
          <w:b/>
        </w:rPr>
        <w:t>Introduction</w:t>
      </w:r>
    </w:p>
    <w:p w:rsidR="00296593" w:rsidRDefault="00E71478">
      <w:r>
        <w:t>In March 2020 the</w:t>
      </w:r>
      <w:r w:rsidR="00994867">
        <w:t xml:space="preserve"> </w:t>
      </w:r>
      <w:r w:rsidR="006F1250">
        <w:t>N</w:t>
      </w:r>
      <w:r w:rsidR="00D931BB">
        <w:t>ew Zealand</w:t>
      </w:r>
      <w:r w:rsidR="00994867">
        <w:t xml:space="preserve"> Government responded to the COVID-19 public health crisis by closing New Zealand</w:t>
      </w:r>
      <w:r w:rsidR="00B95BFB">
        <w:t xml:space="preserve">’s borders to </w:t>
      </w:r>
      <w:r w:rsidR="006C7A7D">
        <w:t>non-</w:t>
      </w:r>
      <w:r w:rsidR="00994867">
        <w:t>citizens and residents, and</w:t>
      </w:r>
      <w:r w:rsidR="00D931BB">
        <w:t xml:space="preserve"> </w:t>
      </w:r>
      <w:r w:rsidR="00994867">
        <w:t>imposing</w:t>
      </w:r>
      <w:r w:rsidR="006F1250">
        <w:t xml:space="preserve"> a strict four-week lockdown period</w:t>
      </w:r>
      <w:r w:rsidR="00994867">
        <w:t xml:space="preserve">. </w:t>
      </w:r>
      <w:r w:rsidR="00B95BFB">
        <w:t>These</w:t>
      </w:r>
      <w:r w:rsidR="00994867">
        <w:t xml:space="preserve"> measures </w:t>
      </w:r>
      <w:r w:rsidR="00F67986">
        <w:t xml:space="preserve">have </w:t>
      </w:r>
      <w:r w:rsidR="00994867">
        <w:t xml:space="preserve">worked to </w:t>
      </w:r>
      <w:r w:rsidR="00296593">
        <w:t>flatten</w:t>
      </w:r>
      <w:r w:rsidR="00D931BB">
        <w:t xml:space="preserve"> </w:t>
      </w:r>
      <w:r>
        <w:t xml:space="preserve">the </w:t>
      </w:r>
      <w:r w:rsidR="00D931BB">
        <w:t>COVID-19 curve</w:t>
      </w:r>
      <w:r w:rsidR="006F1250">
        <w:t xml:space="preserve">. </w:t>
      </w:r>
      <w:r w:rsidR="00B64B1E">
        <w:t>Lockdown measures have gradually eased</w:t>
      </w:r>
      <w:r w:rsidR="006F1250">
        <w:t xml:space="preserve"> </w:t>
      </w:r>
      <w:r w:rsidR="00994867">
        <w:t>from the end of April 2020</w:t>
      </w:r>
      <w:r w:rsidR="005156CD">
        <w:t>.</w:t>
      </w:r>
      <w:r w:rsidR="00B95BFB">
        <w:rPr>
          <w:rStyle w:val="FootnoteReference"/>
        </w:rPr>
        <w:footnoteReference w:id="1"/>
      </w:r>
      <w:r w:rsidR="005156CD">
        <w:t xml:space="preserve"> </w:t>
      </w:r>
      <w:r w:rsidR="00B64B1E">
        <w:t xml:space="preserve">Although the public health crisis, for the moment, has </w:t>
      </w:r>
      <w:r w:rsidR="00B95BFB">
        <w:t>passed,</w:t>
      </w:r>
      <w:r>
        <w:t xml:space="preserve"> </w:t>
      </w:r>
      <w:r w:rsidR="006C7A7D">
        <w:t xml:space="preserve">the resulting economic consequences are dire. </w:t>
      </w:r>
      <w:r w:rsidR="0086141A">
        <w:t xml:space="preserve">New Zealand </w:t>
      </w:r>
      <w:r w:rsidR="00B64B1E">
        <w:t xml:space="preserve">and </w:t>
      </w:r>
      <w:r w:rsidR="006C7A7D">
        <w:t>“</w:t>
      </w:r>
      <w:r>
        <w:t>[m]any countries</w:t>
      </w:r>
      <w:r w:rsidR="00B64B1E">
        <w:t xml:space="preserve"> …</w:t>
      </w:r>
      <w:r>
        <w:t xml:space="preserve"> are expecting their largest economic downturns in living memory”, </w:t>
      </w:r>
      <w:r w:rsidR="006C7A7D">
        <w:t>and</w:t>
      </w:r>
      <w:r>
        <w:t xml:space="preserve"> the final impact on the New Zealand economy is “highly uncertain”.</w:t>
      </w:r>
      <w:r>
        <w:rPr>
          <w:rStyle w:val="FootnoteReference"/>
        </w:rPr>
        <w:footnoteReference w:id="2"/>
      </w:r>
      <w:r>
        <w:t xml:space="preserve"> </w:t>
      </w:r>
    </w:p>
    <w:p w:rsidR="007E27AC" w:rsidRDefault="0013710F">
      <w:r>
        <w:t>The Government</w:t>
      </w:r>
      <w:r w:rsidR="00994867">
        <w:t xml:space="preserve"> has responded to the economic downturn with an</w:t>
      </w:r>
      <w:r>
        <w:t xml:space="preserve"> unprecedented recovery</w:t>
      </w:r>
      <w:r w:rsidR="001B4697">
        <w:t xml:space="preserve"> package</w:t>
      </w:r>
      <w:r w:rsidR="00B64B1E">
        <w:t>. This</w:t>
      </w:r>
      <w:r w:rsidR="001B4697">
        <w:t xml:space="preserve"> includ</w:t>
      </w:r>
      <w:r w:rsidR="00B64B1E">
        <w:t>es</w:t>
      </w:r>
      <w:r w:rsidR="001B4697">
        <w:t xml:space="preserve"> a </w:t>
      </w:r>
      <w:r w:rsidR="00AD381C">
        <w:t>wage subsidy scheme</w:t>
      </w:r>
      <w:r w:rsidR="00885EF0">
        <w:rPr>
          <w:rStyle w:val="FootnoteReference"/>
        </w:rPr>
        <w:footnoteReference w:id="3"/>
      </w:r>
      <w:r w:rsidR="00296593">
        <w:t xml:space="preserve"> which at the time of writing</w:t>
      </w:r>
      <w:r w:rsidR="00E71478">
        <w:t xml:space="preserve"> was supporting around </w:t>
      </w:r>
      <w:r w:rsidR="00885EF0">
        <w:t>40</w:t>
      </w:r>
      <w:r w:rsidR="00E71478">
        <w:t xml:space="preserve"> percent of the New Zealand workforce.</w:t>
      </w:r>
      <w:r w:rsidR="00E71478">
        <w:rPr>
          <w:rStyle w:val="FootnoteReference"/>
        </w:rPr>
        <w:footnoteReference w:id="4"/>
      </w:r>
      <w:r w:rsidR="00E71478">
        <w:t xml:space="preserve"> Other measures include</w:t>
      </w:r>
      <w:r w:rsidR="00BA7848">
        <w:t xml:space="preserve"> </w:t>
      </w:r>
      <w:r w:rsidR="001B4697">
        <w:t xml:space="preserve">a business finance guarantee scheme </w:t>
      </w:r>
      <w:r w:rsidR="006A12BD">
        <w:t>under which</w:t>
      </w:r>
      <w:r w:rsidR="001B4697">
        <w:t xml:space="preserve"> the Government will </w:t>
      </w:r>
      <w:r w:rsidR="006A12BD">
        <w:t>take on 80% of the default risk of new bank loans made to SMEs for</w:t>
      </w:r>
      <w:r w:rsidR="00275D27">
        <w:t xml:space="preserve"> up to a three year period</w:t>
      </w:r>
      <w:r w:rsidR="00885EF0">
        <w:t>,</w:t>
      </w:r>
      <w:r w:rsidR="0086141A">
        <w:rPr>
          <w:rStyle w:val="FootnoteReference"/>
        </w:rPr>
        <w:footnoteReference w:id="5"/>
      </w:r>
      <w:r w:rsidR="00BA7848">
        <w:t xml:space="preserve"> a temporary tax loss carry-back sche</w:t>
      </w:r>
      <w:r w:rsidR="00E71478">
        <w:t>me,</w:t>
      </w:r>
      <w:r w:rsidR="00BA2C76">
        <w:rPr>
          <w:rStyle w:val="FootnoteReference"/>
        </w:rPr>
        <w:footnoteReference w:id="6"/>
      </w:r>
      <w:r w:rsidR="00BA7848">
        <w:t xml:space="preserve"> and amendments to the </w:t>
      </w:r>
      <w:r w:rsidR="00BA7848" w:rsidRPr="006C7A7D">
        <w:rPr>
          <w:i/>
        </w:rPr>
        <w:t>Property Law Act 2007</w:t>
      </w:r>
      <w:r w:rsidR="00BA7848">
        <w:t xml:space="preserve"> (NZ) to support commercial lessors and their lessees, and mortgagees and mortgagors</w:t>
      </w:r>
      <w:r w:rsidR="005156CD">
        <w:t>.</w:t>
      </w:r>
      <w:r w:rsidR="00AE200F">
        <w:rPr>
          <w:rStyle w:val="FootnoteReference"/>
        </w:rPr>
        <w:footnoteReference w:id="7"/>
      </w:r>
      <w:r w:rsidR="00E71478">
        <w:t xml:space="preserve"> </w:t>
      </w:r>
      <w:r w:rsidR="00296593">
        <w:t xml:space="preserve">Nevertheless, many </w:t>
      </w:r>
      <w:r w:rsidR="00EF4C18">
        <w:t xml:space="preserve">businesses, even with Government support, </w:t>
      </w:r>
      <w:r w:rsidR="005F125D">
        <w:t>may not survive</w:t>
      </w:r>
      <w:r w:rsidR="002E01DD">
        <w:t>.</w:t>
      </w:r>
      <w:r w:rsidR="005F125D">
        <w:t xml:space="preserve"> The international tourism sector, for example, is shuttered as a result of the border closure.</w:t>
      </w:r>
      <w:r w:rsidR="002E01DD">
        <w:t xml:space="preserve"> </w:t>
      </w:r>
      <w:r w:rsidR="005F125D">
        <w:t>In a sign not only of business failure, but of restructuring to survive the downturn, r</w:t>
      </w:r>
      <w:r w:rsidR="002E01DD">
        <w:t xml:space="preserve">eported job losses </w:t>
      </w:r>
      <w:r w:rsidR="00EF4C18">
        <w:t>are a daily event.</w:t>
      </w:r>
      <w:r w:rsidR="002E01DD">
        <w:rPr>
          <w:rStyle w:val="FootnoteReference"/>
        </w:rPr>
        <w:footnoteReference w:id="8"/>
      </w:r>
      <w:r w:rsidR="00EF4C18">
        <w:t xml:space="preserve"> </w:t>
      </w:r>
    </w:p>
    <w:p w:rsidR="00BE4AE7" w:rsidRDefault="00565783">
      <w:r>
        <w:t>Th</w:t>
      </w:r>
      <w:r w:rsidR="006C7A7D">
        <w:t>is</w:t>
      </w:r>
      <w:r>
        <w:t xml:space="preserve"> note </w:t>
      </w:r>
      <w:r w:rsidR="00F67986">
        <w:t xml:space="preserve">summarises the </w:t>
      </w:r>
      <w:r>
        <w:t xml:space="preserve">amendments made </w:t>
      </w:r>
      <w:r w:rsidR="00BE4AE7">
        <w:t xml:space="preserve">to New Zealand’s insolvency law framework </w:t>
      </w:r>
      <w:r w:rsidR="00B95BFB">
        <w:t>by the</w:t>
      </w:r>
      <w:r>
        <w:t xml:space="preserve"> </w:t>
      </w:r>
      <w:r w:rsidRPr="000A3597">
        <w:rPr>
          <w:i/>
        </w:rPr>
        <w:t>COVID-19 Response (Further Management Measures) Legislation Act</w:t>
      </w:r>
      <w:r>
        <w:t xml:space="preserve"> 2020 (NZ)</w:t>
      </w:r>
      <w:r w:rsidR="00F67986">
        <w:t xml:space="preserve"> in response to the economic effects of the COVID-19 crisis</w:t>
      </w:r>
      <w:r w:rsidR="0086141A">
        <w:t xml:space="preserve">. </w:t>
      </w:r>
      <w:r w:rsidR="00EF4C18">
        <w:t xml:space="preserve"> </w:t>
      </w:r>
    </w:p>
    <w:p w:rsidR="007C362E" w:rsidRDefault="006A2429">
      <w:pPr>
        <w:rPr>
          <w:b/>
        </w:rPr>
      </w:pPr>
      <w:r>
        <w:rPr>
          <w:b/>
        </w:rPr>
        <w:t>Insolvent Trading Safe Harbour</w:t>
      </w:r>
    </w:p>
    <w:p w:rsidR="00B94DAE" w:rsidRDefault="00E212BC" w:rsidP="00B94DAE">
      <w:r>
        <w:t xml:space="preserve">The </w:t>
      </w:r>
      <w:r w:rsidR="00B64B1E">
        <w:t xml:space="preserve">introduction of </w:t>
      </w:r>
      <w:r w:rsidR="00B95BFB">
        <w:t xml:space="preserve">insolvent trading </w:t>
      </w:r>
      <w:r>
        <w:t>safe harbour rules was signalled by the Government in early April 2020</w:t>
      </w:r>
      <w:r w:rsidR="00B64B1E">
        <w:t xml:space="preserve">. The rules apply retrospectively, also as signalled, </w:t>
      </w:r>
      <w:r>
        <w:t xml:space="preserve">from 3 April 2020. </w:t>
      </w:r>
      <w:r w:rsidR="00565783">
        <w:t>The</w:t>
      </w:r>
      <w:r>
        <w:t>ir</w:t>
      </w:r>
      <w:r w:rsidR="00565783">
        <w:t xml:space="preserve"> </w:t>
      </w:r>
      <w:r w:rsidR="00B95BFB">
        <w:t xml:space="preserve">stated </w:t>
      </w:r>
      <w:r w:rsidR="00655D2E">
        <w:t xml:space="preserve">purpose is to </w:t>
      </w:r>
      <w:r w:rsidR="00296593">
        <w:t>provid</w:t>
      </w:r>
      <w:r w:rsidR="00655D2E">
        <w:t>e</w:t>
      </w:r>
      <w:r w:rsidR="00296593">
        <w:t xml:space="preserve"> </w:t>
      </w:r>
      <w:r w:rsidR="00565783" w:rsidRPr="00565783">
        <w:t xml:space="preserve">directors of companies </w:t>
      </w:r>
      <w:r w:rsidR="00655D2E">
        <w:t>facing significant liquidity problems because of the effects of the</w:t>
      </w:r>
      <w:r w:rsidR="00565783" w:rsidRPr="00565783">
        <w:t xml:space="preserve"> COVID-19 </w:t>
      </w:r>
      <w:r w:rsidR="00655D2E">
        <w:t xml:space="preserve">outbreak </w:t>
      </w:r>
      <w:r w:rsidR="00565783">
        <w:t xml:space="preserve">with more certainty about </w:t>
      </w:r>
      <w:r w:rsidR="00655D2E">
        <w:t xml:space="preserve">the insolvent trading duties in </w:t>
      </w:r>
      <w:proofErr w:type="spellStart"/>
      <w:r w:rsidR="00655D2E">
        <w:t>ss</w:t>
      </w:r>
      <w:proofErr w:type="spellEnd"/>
      <w:r w:rsidR="00655D2E">
        <w:t xml:space="preserve"> 135 and 136 of the </w:t>
      </w:r>
      <w:r w:rsidR="00655D2E">
        <w:rPr>
          <w:i/>
        </w:rPr>
        <w:t xml:space="preserve">Companies </w:t>
      </w:r>
      <w:r w:rsidR="00BE4AE7">
        <w:rPr>
          <w:i/>
        </w:rPr>
        <w:t>Act</w:t>
      </w:r>
      <w:r w:rsidR="00B64B1E">
        <w:rPr>
          <w:i/>
        </w:rPr>
        <w:t xml:space="preserve"> 1993 </w:t>
      </w:r>
      <w:r w:rsidR="00B64B1E">
        <w:t>(NZ)</w:t>
      </w:r>
      <w:r w:rsidR="00296593">
        <w:t>.</w:t>
      </w:r>
      <w:r w:rsidR="000D596B">
        <w:rPr>
          <w:rStyle w:val="FootnoteReference"/>
        </w:rPr>
        <w:footnoteReference w:id="9"/>
      </w:r>
      <w:r w:rsidR="00B74F84">
        <w:t xml:space="preserve"> </w:t>
      </w:r>
      <w:r w:rsidR="00B95BFB">
        <w:t>It is not a purpose of the</w:t>
      </w:r>
      <w:r w:rsidR="006C7A7D">
        <w:t xml:space="preserve"> new</w:t>
      </w:r>
      <w:r w:rsidR="00B95BFB">
        <w:t xml:space="preserve"> rules</w:t>
      </w:r>
      <w:r w:rsidR="00B74F84">
        <w:t xml:space="preserve"> </w:t>
      </w:r>
      <w:r w:rsidR="003F52B1">
        <w:t xml:space="preserve">“to facilitate the ability of a company </w:t>
      </w:r>
      <w:r w:rsidR="003F52B1">
        <w:lastRenderedPageBreak/>
        <w:t>that has no realistic prospect of continuing to trade or operate in the medium to long term to defer a decision to enter into liquidation to the detriment of its creditors.”</w:t>
      </w:r>
      <w:r w:rsidR="003F52B1">
        <w:rPr>
          <w:rStyle w:val="FootnoteReference"/>
        </w:rPr>
        <w:footnoteReference w:id="10"/>
      </w:r>
      <w:r w:rsidR="00092B95">
        <w:t xml:space="preserve"> </w:t>
      </w:r>
    </w:p>
    <w:p w:rsidR="00296593" w:rsidRDefault="00092B95" w:rsidP="00296593">
      <w:r>
        <w:t xml:space="preserve">The </w:t>
      </w:r>
      <w:r w:rsidR="00B64B1E">
        <w:t>new rules</w:t>
      </w:r>
      <w:r w:rsidR="00296593">
        <w:t xml:space="preserve"> appl</w:t>
      </w:r>
      <w:r w:rsidR="00B64B1E">
        <w:t>y</w:t>
      </w:r>
      <w:r>
        <w:t xml:space="preserve"> to companies that as at 31 December 2019 </w:t>
      </w:r>
      <w:r w:rsidR="00565783">
        <w:t xml:space="preserve">met a cash-flow solvency test (they </w:t>
      </w:r>
      <w:r w:rsidR="002E340A">
        <w:t>were able to pay their debts as they became due in the normal course of business</w:t>
      </w:r>
      <w:r w:rsidR="00565783">
        <w:t>)</w:t>
      </w:r>
      <w:r w:rsidR="002E340A">
        <w:t>,</w:t>
      </w:r>
      <w:r w:rsidR="00565783">
        <w:rPr>
          <w:rStyle w:val="FootnoteReference"/>
        </w:rPr>
        <w:footnoteReference w:id="11"/>
      </w:r>
      <w:r w:rsidR="002E340A">
        <w:t xml:space="preserve"> and companies that were incorporated after 1 January 2020 but before 3 April 2020.</w:t>
      </w:r>
      <w:r w:rsidR="002E340A">
        <w:rPr>
          <w:rStyle w:val="FootnoteReference"/>
        </w:rPr>
        <w:footnoteReference w:id="12"/>
      </w:r>
      <w:r w:rsidR="00F12414">
        <w:t xml:space="preserve"> </w:t>
      </w:r>
      <w:r w:rsidR="00B95BFB">
        <w:t>The rules only apply</w:t>
      </w:r>
      <w:r w:rsidR="00296593">
        <w:t xml:space="preserve"> for a defined period, the “safe harbour period”. </w:t>
      </w:r>
      <w:r w:rsidR="008B3798">
        <w:t>The</w:t>
      </w:r>
      <w:r w:rsidR="00296593">
        <w:t xml:space="preserve"> initial safe harbour period runs from 3 April 2020 and ends on the close of 30 September 2020,</w:t>
      </w:r>
      <w:r w:rsidR="00296593">
        <w:rPr>
          <w:rStyle w:val="FootnoteReference"/>
        </w:rPr>
        <w:footnoteReference w:id="13"/>
      </w:r>
      <w:r w:rsidR="00296593">
        <w:t xml:space="preserve"> </w:t>
      </w:r>
      <w:r w:rsidR="008B3798">
        <w:t>but</w:t>
      </w:r>
      <w:r w:rsidR="00296593">
        <w:t xml:space="preserve"> may be extended by regulation </w:t>
      </w:r>
      <w:r w:rsidR="00A13C97">
        <w:t xml:space="preserve">to end no later than </w:t>
      </w:r>
      <w:r w:rsidR="00296593">
        <w:t>31 March 2021.</w:t>
      </w:r>
      <w:r w:rsidR="00296593">
        <w:rPr>
          <w:rStyle w:val="FootnoteReference"/>
        </w:rPr>
        <w:footnoteReference w:id="14"/>
      </w:r>
      <w:r w:rsidR="00296593">
        <w:t xml:space="preserve"> There is also provision for the creation by regulation of a new safe harbour period for no more than a further 6 months and ending no later than 30 September 2021.</w:t>
      </w:r>
      <w:r w:rsidR="00296593">
        <w:rPr>
          <w:rStyle w:val="FootnoteReference"/>
        </w:rPr>
        <w:footnoteReference w:id="15"/>
      </w:r>
      <w:r w:rsidR="00296593">
        <w:t xml:space="preserve"> </w:t>
      </w:r>
      <w:r w:rsidR="00A13C97">
        <w:t>The</w:t>
      </w:r>
      <w:r w:rsidR="00296593">
        <w:t xml:space="preserve"> initial or</w:t>
      </w:r>
      <w:r w:rsidR="00A13C97">
        <w:t xml:space="preserve"> any</w:t>
      </w:r>
      <w:r w:rsidR="00296593">
        <w:t xml:space="preserve"> new safe harbour period </w:t>
      </w:r>
      <w:r w:rsidR="00A13C97">
        <w:t>may be</w:t>
      </w:r>
      <w:r w:rsidR="00296593">
        <w:t xml:space="preserve"> revoked or reduced by regulation.</w:t>
      </w:r>
      <w:r w:rsidR="00296593">
        <w:rPr>
          <w:rStyle w:val="FootnoteReference"/>
        </w:rPr>
        <w:footnoteReference w:id="16"/>
      </w:r>
      <w:r w:rsidR="00B64B1E">
        <w:t xml:space="preserve"> </w:t>
      </w:r>
      <w:r w:rsidR="00F67986">
        <w:t>Consistent with the intended short-term operation of the new rules, they are to be</w:t>
      </w:r>
      <w:r w:rsidR="00B64B1E">
        <w:t xml:space="preserve"> repealed on 31 May 2022.</w:t>
      </w:r>
      <w:r w:rsidR="00B64B1E">
        <w:rPr>
          <w:rStyle w:val="FootnoteReference"/>
        </w:rPr>
        <w:footnoteReference w:id="17"/>
      </w:r>
    </w:p>
    <w:p w:rsidR="00F67986" w:rsidRDefault="00B95BFB">
      <w:r>
        <w:t>The duty to avoid reckless trading in s</w:t>
      </w:r>
      <w:r w:rsidR="00B64B1E">
        <w:t xml:space="preserve"> 135</w:t>
      </w:r>
      <w:r>
        <w:t xml:space="preserve"> of the </w:t>
      </w:r>
      <w:r>
        <w:rPr>
          <w:i/>
        </w:rPr>
        <w:t>Companies Act</w:t>
      </w:r>
      <w:r w:rsidR="00B64B1E">
        <w:t xml:space="preserve"> </w:t>
      </w:r>
      <w:r w:rsidR="00565783">
        <w:t>requires that</w:t>
      </w:r>
      <w:r w:rsidR="00350100">
        <w:t xml:space="preserve"> directors not agree, cause or allow the business of a company to be carried on in a manner likely to create a substantial risk of serious loss to creditors. </w:t>
      </w:r>
      <w:r w:rsidR="00BF1CC2">
        <w:t>The scope</w:t>
      </w:r>
      <w:r w:rsidR="0018300E">
        <w:t xml:space="preserve"> of</w:t>
      </w:r>
      <w:r w:rsidR="00BF1CC2">
        <w:t xml:space="preserve"> </w:t>
      </w:r>
      <w:r>
        <w:t>th</w:t>
      </w:r>
      <w:r w:rsidR="00F67986">
        <w:t>is</w:t>
      </w:r>
      <w:r>
        <w:t xml:space="preserve"> duty</w:t>
      </w:r>
      <w:r w:rsidR="003F52B1">
        <w:t xml:space="preserve"> </w:t>
      </w:r>
      <w:r w:rsidR="00350100">
        <w:t xml:space="preserve">cannot be properly understood without reference to explanatory case law. </w:t>
      </w:r>
      <w:r w:rsidR="00BF1CC2">
        <w:t>In summary</w:t>
      </w:r>
      <w:r w:rsidR="00350100">
        <w:t>, the duty arises when a company enters “troubled financial waters”.</w:t>
      </w:r>
      <w:r w:rsidR="00714A6C">
        <w:rPr>
          <w:rStyle w:val="FootnoteReference"/>
        </w:rPr>
        <w:footnoteReference w:id="18"/>
      </w:r>
      <w:r w:rsidR="00350100">
        <w:t xml:space="preserve"> </w:t>
      </w:r>
      <w:r w:rsidR="0018300E">
        <w:t xml:space="preserve">This assessment is informed by determining whether a director’s actions allegedly </w:t>
      </w:r>
      <w:r w:rsidR="001108FA">
        <w:t xml:space="preserve">in </w:t>
      </w:r>
      <w:r w:rsidR="0018300E">
        <w:t>breach of s 135 occurred at a time when the company failed to meet the statutory solvency test in s 4 of the Act</w:t>
      </w:r>
      <w:r w:rsidR="00B64B1E">
        <w:t>,</w:t>
      </w:r>
      <w:r w:rsidR="00822600">
        <w:rPr>
          <w:rStyle w:val="FootnoteReference"/>
        </w:rPr>
        <w:footnoteReference w:id="19"/>
      </w:r>
      <w:r w:rsidR="00B64B1E">
        <w:t xml:space="preserve"> that is to say, </w:t>
      </w:r>
      <w:r w:rsidR="00133024">
        <w:t>it</w:t>
      </w:r>
      <w:r w:rsidR="00B64B1E">
        <w:t xml:space="preserve"> failed one or both of the cash flow and balance sheet </w:t>
      </w:r>
      <w:r w:rsidR="00E6399D">
        <w:t>solvency</w:t>
      </w:r>
      <w:r w:rsidR="00822600">
        <w:t xml:space="preserve"> tests set out in s 4(1).</w:t>
      </w:r>
      <w:r w:rsidR="00E212BC">
        <w:t xml:space="preserve"> </w:t>
      </w:r>
      <w:r w:rsidR="00F67986">
        <w:t xml:space="preserve"> A</w:t>
      </w:r>
      <w:r w:rsidR="00350100">
        <w:t xml:space="preserve"> director’s obligation is</w:t>
      </w:r>
      <w:r w:rsidR="00133024">
        <w:t xml:space="preserve"> then</w:t>
      </w:r>
      <w:r w:rsidR="00350100">
        <w:t xml:space="preserve"> to undertake</w:t>
      </w:r>
      <w:r w:rsidR="007E27AC">
        <w:t>,</w:t>
      </w:r>
      <w:r w:rsidR="00350100">
        <w:t xml:space="preserve"> </w:t>
      </w:r>
      <w:r w:rsidR="007E27AC">
        <w:t xml:space="preserve">on </w:t>
      </w:r>
      <w:r w:rsidR="00350100">
        <w:t>an ongoing</w:t>
      </w:r>
      <w:r w:rsidR="007E27AC">
        <w:t xml:space="preserve"> basis, a</w:t>
      </w:r>
      <w:r w:rsidR="00350100">
        <w:t xml:space="preserve"> “sober assessment” of the company’s financial position</w:t>
      </w:r>
      <w:r w:rsidR="00714A6C">
        <w:rPr>
          <w:rStyle w:val="FootnoteReference"/>
        </w:rPr>
        <w:footnoteReference w:id="20"/>
      </w:r>
      <w:r w:rsidR="00350100">
        <w:t xml:space="preserve"> and </w:t>
      </w:r>
      <w:r w:rsidR="00714A6C">
        <w:t xml:space="preserve">to </w:t>
      </w:r>
      <w:r w:rsidR="00350100">
        <w:t>respond as would a reasonable dir</w:t>
      </w:r>
      <w:r w:rsidR="003F52B1">
        <w:t>ector in</w:t>
      </w:r>
      <w:r w:rsidR="00D45746">
        <w:t xml:space="preserve"> the same circumstances. </w:t>
      </w:r>
    </w:p>
    <w:p w:rsidR="00C62088" w:rsidRDefault="00F67986">
      <w:r>
        <w:t>The purpose of the duty is not to</w:t>
      </w:r>
      <w:r w:rsidR="00822600">
        <w:t xml:space="preserve"> protect creditors from all loss, but from inappropriate loss arising from</w:t>
      </w:r>
      <w:r>
        <w:t xml:space="preserve"> directors’ </w:t>
      </w:r>
      <w:r w:rsidR="00822600">
        <w:t>illegitimate risk taking.</w:t>
      </w:r>
      <w:r w:rsidR="00822600">
        <w:rPr>
          <w:rStyle w:val="FootnoteReference"/>
        </w:rPr>
        <w:footnoteReference w:id="21"/>
      </w:r>
      <w:r w:rsidR="00822600">
        <w:t xml:space="preserve"> </w:t>
      </w:r>
      <w:r w:rsidR="00B95BFB">
        <w:t>Insolvent trading does not of itself</w:t>
      </w:r>
      <w:r w:rsidR="00E6399D">
        <w:t xml:space="preserve"> constitute illegitimate risk taking, but there are limits on the period of time (usu</w:t>
      </w:r>
      <w:r w:rsidR="00133024">
        <w:t xml:space="preserve">ally a matter of months) that </w:t>
      </w:r>
      <w:r w:rsidR="00E6399D">
        <w:t>director</w:t>
      </w:r>
      <w:r w:rsidR="00133024">
        <w:t>s</w:t>
      </w:r>
      <w:r w:rsidR="00E6399D">
        <w:t xml:space="preserve"> can trade an insolvent company in the hope that things will improve.</w:t>
      </w:r>
      <w:r w:rsidR="00E6399D">
        <w:rPr>
          <w:rStyle w:val="FootnoteReference"/>
        </w:rPr>
        <w:footnoteReference w:id="22"/>
      </w:r>
      <w:r w:rsidR="00E6399D">
        <w:t xml:space="preserve"> Whether creditors are aware of the risks they </w:t>
      </w:r>
      <w:r>
        <w:t>face</w:t>
      </w:r>
      <w:r w:rsidR="00E6399D">
        <w:t xml:space="preserve"> </w:t>
      </w:r>
      <w:r>
        <w:t xml:space="preserve">is </w:t>
      </w:r>
      <w:r w:rsidR="00B95BFB">
        <w:t>also relevant</w:t>
      </w:r>
      <w:r w:rsidR="00E6399D">
        <w:t xml:space="preserve"> in distinguishing between legitima</w:t>
      </w:r>
      <w:r w:rsidR="001108FA">
        <w:t>te and illegitimate risk taking,</w:t>
      </w:r>
      <w:r w:rsidR="00E6399D">
        <w:rPr>
          <w:rStyle w:val="FootnoteReference"/>
        </w:rPr>
        <w:footnoteReference w:id="23"/>
      </w:r>
      <w:r w:rsidR="001108FA">
        <w:t xml:space="preserve"> </w:t>
      </w:r>
      <w:r w:rsidR="001108FA">
        <w:lastRenderedPageBreak/>
        <w:t>as is whether a risk of loss is</w:t>
      </w:r>
      <w:r w:rsidR="00E6399D">
        <w:t xml:space="preserve"> </w:t>
      </w:r>
      <w:r>
        <w:t>balanced with the potenti</w:t>
      </w:r>
      <w:r w:rsidR="001108FA">
        <w:t>al for gain.</w:t>
      </w:r>
      <w:r>
        <w:rPr>
          <w:rStyle w:val="FootnoteReference"/>
        </w:rPr>
        <w:footnoteReference w:id="24"/>
      </w:r>
      <w:r>
        <w:t xml:space="preserve"> It is the risk of inappropriate loss</w:t>
      </w:r>
      <w:r w:rsidR="00D45746">
        <w:t xml:space="preserve"> to creditors collectively</w:t>
      </w:r>
      <w:r>
        <w:t xml:space="preserve"> that is assessed</w:t>
      </w:r>
      <w:r w:rsidR="00D45746">
        <w:t xml:space="preserve">, </w:t>
      </w:r>
      <w:r w:rsidR="00092B95">
        <w:t>rather than</w:t>
      </w:r>
      <w:r w:rsidR="00D45746">
        <w:t xml:space="preserve"> the risk of loss arising from one transaction</w:t>
      </w:r>
      <w:r>
        <w:t>.</w:t>
      </w:r>
      <w:r w:rsidR="001108FA">
        <w:rPr>
          <w:rStyle w:val="FootnoteReference"/>
        </w:rPr>
        <w:footnoteReference w:id="25"/>
      </w:r>
      <w:r>
        <w:t xml:space="preserve"> </w:t>
      </w:r>
      <w:r w:rsidR="00E6399D">
        <w:t>A</w:t>
      </w:r>
      <w:r w:rsidR="00D45746">
        <w:t xml:space="preserve"> director’s actions must be assessed </w:t>
      </w:r>
      <w:r w:rsidR="007E27AC">
        <w:t xml:space="preserve">in </w:t>
      </w:r>
      <w:r w:rsidR="00BF1CC2">
        <w:t xml:space="preserve">the </w:t>
      </w:r>
      <w:r w:rsidR="00F12414">
        <w:t xml:space="preserve">light of the </w:t>
      </w:r>
      <w:r w:rsidR="00BF1CC2">
        <w:t>realit</w:t>
      </w:r>
      <w:r w:rsidR="00A30D63">
        <w:t>y of the</w:t>
      </w:r>
      <w:r w:rsidR="00E6399D">
        <w:t xml:space="preserve"> </w:t>
      </w:r>
      <w:r w:rsidR="00A30D63">
        <w:t>commercial choices they</w:t>
      </w:r>
      <w:r w:rsidR="00BF1CC2">
        <w:t xml:space="preserve"> </w:t>
      </w:r>
      <w:r w:rsidR="007E27AC">
        <w:t>faced</w:t>
      </w:r>
      <w:r w:rsidR="00133024">
        <w:t>, rather than with the benefit of hindsight</w:t>
      </w:r>
      <w:r w:rsidR="00BF1CC2">
        <w:t>.</w:t>
      </w:r>
      <w:r w:rsidR="00714A6C">
        <w:rPr>
          <w:rStyle w:val="FootnoteReference"/>
        </w:rPr>
        <w:footnoteReference w:id="26"/>
      </w:r>
    </w:p>
    <w:p w:rsidR="00B94DAE" w:rsidRDefault="000D1218">
      <w:r>
        <w:t>T</w:t>
      </w:r>
      <w:r w:rsidR="00A30D63">
        <w:t xml:space="preserve">he </w:t>
      </w:r>
      <w:r>
        <w:t>new rules</w:t>
      </w:r>
      <w:r w:rsidR="00E212BC">
        <w:t xml:space="preserve"> </w:t>
      </w:r>
      <w:r w:rsidR="00E6399D">
        <w:t>provide a director with an affirmative defence</w:t>
      </w:r>
      <w:r w:rsidR="00E6399D">
        <w:rPr>
          <w:rStyle w:val="FootnoteReference"/>
        </w:rPr>
        <w:footnoteReference w:id="27"/>
      </w:r>
      <w:r w:rsidR="00E6399D">
        <w:t xml:space="preserve"> </w:t>
      </w:r>
      <w:r w:rsidR="00CC3551">
        <w:t>if</w:t>
      </w:r>
      <w:r>
        <w:t xml:space="preserve"> during</w:t>
      </w:r>
      <w:r w:rsidR="00CC3551">
        <w:t xml:space="preserve"> the safe harbour period they</w:t>
      </w:r>
      <w:r w:rsidR="00E6399D">
        <w:t xml:space="preserve"> agree, cause</w:t>
      </w:r>
      <w:r>
        <w:t xml:space="preserve"> or allows the business of </w:t>
      </w:r>
      <w:r w:rsidR="00E6399D">
        <w:t>a</w:t>
      </w:r>
      <w:r>
        <w:t xml:space="preserve"> company to be carried on in any manner.</w:t>
      </w:r>
      <w:r>
        <w:rPr>
          <w:rStyle w:val="FootnoteReference"/>
        </w:rPr>
        <w:footnoteReference w:id="28"/>
      </w:r>
      <w:r>
        <w:t xml:space="preserve"> </w:t>
      </w:r>
      <w:r w:rsidR="00CC3551">
        <w:t>A director will not be in breach of</w:t>
      </w:r>
      <w:r>
        <w:t xml:space="preserve"> s </w:t>
      </w:r>
      <w:r w:rsidR="00CC3551">
        <w:t>135 if, when acting</w:t>
      </w:r>
      <w:r>
        <w:t xml:space="preserve">, the director </w:t>
      </w:r>
      <w:r w:rsidR="00CC3551">
        <w:t>has a good faith</w:t>
      </w:r>
      <w:r>
        <w:t xml:space="preserve"> opinion that – </w:t>
      </w:r>
    </w:p>
    <w:p w:rsidR="000D1218" w:rsidRDefault="000D1218" w:rsidP="000D1218">
      <w:pPr>
        <w:pStyle w:val="ListParagraph"/>
        <w:numPr>
          <w:ilvl w:val="0"/>
          <w:numId w:val="2"/>
        </w:numPr>
      </w:pPr>
      <w:r>
        <w:t>the company has, or in the next six months is likely to have, significant liquidity problems; and</w:t>
      </w:r>
    </w:p>
    <w:p w:rsidR="000D1218" w:rsidRDefault="000D1218" w:rsidP="000D1218">
      <w:pPr>
        <w:pStyle w:val="ListParagraph"/>
        <w:numPr>
          <w:ilvl w:val="0"/>
          <w:numId w:val="2"/>
        </w:numPr>
      </w:pPr>
      <w:r>
        <w:t>the liquidity problems are, or will be, a result of the effects of COVID-19 on the company, its debtors, or its creditors; and</w:t>
      </w:r>
    </w:p>
    <w:p w:rsidR="000D1218" w:rsidRDefault="000D1218" w:rsidP="000D1218">
      <w:pPr>
        <w:pStyle w:val="ListParagraph"/>
        <w:numPr>
          <w:ilvl w:val="0"/>
          <w:numId w:val="2"/>
        </w:numPr>
      </w:pPr>
      <w:proofErr w:type="gramStart"/>
      <w:r>
        <w:t>it</w:t>
      </w:r>
      <w:proofErr w:type="gramEnd"/>
      <w:r>
        <w:t xml:space="preserve"> is more likely than not that the company will be able to pay its du</w:t>
      </w:r>
      <w:r w:rsidR="00133024">
        <w:t>e debts on and after … [</w:t>
      </w:r>
      <w:r>
        <w:t>30 September 2021</w:t>
      </w:r>
      <w:r>
        <w:rPr>
          <w:rStyle w:val="FootnoteReference"/>
        </w:rPr>
        <w:footnoteReference w:id="29"/>
      </w:r>
      <w:r>
        <w:t xml:space="preserve"> or any later date prescribed by regulation].</w:t>
      </w:r>
    </w:p>
    <w:p w:rsidR="00092B95" w:rsidRDefault="000D1218">
      <w:r>
        <w:t xml:space="preserve">In </w:t>
      </w:r>
      <w:r w:rsidR="00133024">
        <w:t>assessing</w:t>
      </w:r>
      <w:r>
        <w:t xml:space="preserve"> whether it is more likely than not that the company will be able to pay its debts on</w:t>
      </w:r>
      <w:r w:rsidR="00B74F84">
        <w:t xml:space="preserve"> and after 30 September 2021, </w:t>
      </w:r>
      <w:r w:rsidR="00A034FA">
        <w:t xml:space="preserve">a director may have regard to </w:t>
      </w:r>
      <w:r w:rsidR="00B74F84">
        <w:t>the likelihood of</w:t>
      </w:r>
      <w:r w:rsidR="00A034FA">
        <w:t xml:space="preserve"> trading conditions improving;</w:t>
      </w:r>
      <w:r w:rsidR="00B74F84">
        <w:t xml:space="preserve"> the likelihood of the company reaching an arrangement or other arrangement with its creditors;</w:t>
      </w:r>
      <w:r w:rsidR="00B74F84">
        <w:rPr>
          <w:rStyle w:val="FootnoteReference"/>
        </w:rPr>
        <w:footnoteReference w:id="30"/>
      </w:r>
      <w:r w:rsidR="00A034FA">
        <w:t xml:space="preserve"> and </w:t>
      </w:r>
      <w:r w:rsidR="00B74F84">
        <w:t xml:space="preserve">any other matter the director considers to be relevant. </w:t>
      </w:r>
    </w:p>
    <w:p w:rsidR="009C379D" w:rsidRDefault="008B3798" w:rsidP="009C379D">
      <w:r>
        <w:t xml:space="preserve">It </w:t>
      </w:r>
      <w:r w:rsidR="00C62088">
        <w:t>is</w:t>
      </w:r>
      <w:r>
        <w:t xml:space="preserve"> important for directors and their advisors </w:t>
      </w:r>
      <w:r w:rsidR="00E3405F">
        <w:t>to be aware of</w:t>
      </w:r>
      <w:r>
        <w:t xml:space="preserve"> the limitations </w:t>
      </w:r>
      <w:r w:rsidR="00133024">
        <w:t>of</w:t>
      </w:r>
      <w:r>
        <w:t xml:space="preserve"> the safe har</w:t>
      </w:r>
      <w:r w:rsidR="00BE4AE7">
        <w:t xml:space="preserve">bour </w:t>
      </w:r>
      <w:r w:rsidR="00C62088">
        <w:t>rules as they</w:t>
      </w:r>
      <w:r w:rsidR="00BE4AE7">
        <w:t xml:space="preserve"> appl</w:t>
      </w:r>
      <w:r w:rsidR="00C62088">
        <w:t>y</w:t>
      </w:r>
      <w:r w:rsidR="00BE4AE7">
        <w:t xml:space="preserve"> to s 135. The amendment is largely limited in its application to</w:t>
      </w:r>
      <w:r w:rsidR="00E3405F">
        <w:t xml:space="preserve"> directors of</w:t>
      </w:r>
      <w:r w:rsidR="00BE4AE7">
        <w:t xml:space="preserve"> companies that met a cash flow solvency test as at 31 December 2019,</w:t>
      </w:r>
      <w:r w:rsidR="00E3405F">
        <w:rPr>
          <w:rStyle w:val="FootnoteReference"/>
        </w:rPr>
        <w:footnoteReference w:id="31"/>
      </w:r>
      <w:r w:rsidR="00BE4AE7">
        <w:t xml:space="preserve"> and to</w:t>
      </w:r>
      <w:r w:rsidR="006900FB">
        <w:t xml:space="preserve"> directors of</w:t>
      </w:r>
      <w:r w:rsidR="00BE4AE7">
        <w:t xml:space="preserve"> companies within that subset </w:t>
      </w:r>
      <w:r w:rsidR="006F7FD2">
        <w:t>who have the</w:t>
      </w:r>
      <w:r w:rsidR="006900FB">
        <w:t xml:space="preserve"> required good faith opinion as to the effects of the COVID-19 outbreak on</w:t>
      </w:r>
      <w:r w:rsidR="009C379D">
        <w:t xml:space="preserve"> the company’s</w:t>
      </w:r>
      <w:r w:rsidR="006900FB">
        <w:t xml:space="preserve"> liquidity and </w:t>
      </w:r>
      <w:r w:rsidR="00566D83">
        <w:t xml:space="preserve">its </w:t>
      </w:r>
      <w:r w:rsidR="00C62088">
        <w:t>likely ability</w:t>
      </w:r>
      <w:r w:rsidR="006900FB">
        <w:t xml:space="preserve"> to pay its due debt</w:t>
      </w:r>
      <w:r w:rsidR="00566D83">
        <w:t>s on or after 30 September 2021</w:t>
      </w:r>
      <w:r w:rsidR="006900FB">
        <w:t xml:space="preserve">. </w:t>
      </w:r>
      <w:r w:rsidR="00566D83">
        <w:t>Directors bear the burden of proving that their actions are covered by the new rules.</w:t>
      </w:r>
      <w:r w:rsidR="00566D83">
        <w:rPr>
          <w:rStyle w:val="FootnoteReference"/>
        </w:rPr>
        <w:footnoteReference w:id="32"/>
      </w:r>
      <w:r w:rsidR="00566D83">
        <w:t xml:space="preserve"> </w:t>
      </w:r>
      <w:r w:rsidR="00C62088">
        <w:t>Meeting</w:t>
      </w:r>
      <w:r w:rsidR="00E6399D">
        <w:t xml:space="preserve"> the terms of the defence will require</w:t>
      </w:r>
      <w:r w:rsidR="006F7FD2">
        <w:t xml:space="preserve"> an ongoing</w:t>
      </w:r>
      <w:r w:rsidR="006900FB">
        <w:t xml:space="preserve">, </w:t>
      </w:r>
      <w:r w:rsidR="006F7FD2">
        <w:t>rather than a</w:t>
      </w:r>
      <w:r w:rsidR="006900FB">
        <w:t xml:space="preserve"> one-off, assessment. Although </w:t>
      </w:r>
      <w:r w:rsidR="00566D83">
        <w:t>directors</w:t>
      </w:r>
      <w:r w:rsidR="006900FB">
        <w:t xml:space="preserve"> may </w:t>
      </w:r>
      <w:r w:rsidR="00133024">
        <w:t>have regard to</w:t>
      </w:r>
      <w:r w:rsidR="006900FB">
        <w:t xml:space="preserve"> professional advice,</w:t>
      </w:r>
      <w:r w:rsidR="006900FB">
        <w:rPr>
          <w:rStyle w:val="FootnoteReference"/>
        </w:rPr>
        <w:footnoteReference w:id="33"/>
      </w:r>
      <w:r w:rsidR="006900FB">
        <w:t xml:space="preserve"> </w:t>
      </w:r>
      <w:r w:rsidR="006F7FD2">
        <w:t xml:space="preserve">they are still required to </w:t>
      </w:r>
      <w:r w:rsidR="00CC3551">
        <w:t>assess the</w:t>
      </w:r>
      <w:r w:rsidR="006900FB">
        <w:t xml:space="preserve"> ripple effect of the national</w:t>
      </w:r>
      <w:r w:rsidR="006F7FD2">
        <w:t xml:space="preserve"> and/or global </w:t>
      </w:r>
      <w:r w:rsidR="006900FB">
        <w:t>e</w:t>
      </w:r>
      <w:r w:rsidR="00CC3551">
        <w:t>conomic downturn on the company and</w:t>
      </w:r>
      <w:r w:rsidR="006900FB">
        <w:t xml:space="preserve"> its debtors and creditors. </w:t>
      </w:r>
      <w:r w:rsidR="006F7FD2">
        <w:t>Directors may take</w:t>
      </w:r>
      <w:r w:rsidR="006900FB">
        <w:t xml:space="preserve"> </w:t>
      </w:r>
      <w:r w:rsidR="006F7FD2">
        <w:t>some</w:t>
      </w:r>
      <w:r w:rsidR="00133024">
        <w:t xml:space="preserve"> comfort from the fact </w:t>
      </w:r>
      <w:r w:rsidR="006F7FD2">
        <w:t>that</w:t>
      </w:r>
      <w:r w:rsidR="006900FB">
        <w:t xml:space="preserve"> their</w:t>
      </w:r>
      <w:r w:rsidR="006F7FD2">
        <w:t xml:space="preserve"> actions will be judged in the commercial context in which they were made. Given th</w:t>
      </w:r>
      <w:r w:rsidR="001108FA">
        <w:t>at</w:t>
      </w:r>
      <w:r w:rsidR="00133024">
        <w:t xml:space="preserve"> </w:t>
      </w:r>
      <w:r w:rsidR="006F7FD2">
        <w:t>Treasury</w:t>
      </w:r>
      <w:r w:rsidR="009C379D">
        <w:t xml:space="preserve"> experts have</w:t>
      </w:r>
      <w:r w:rsidR="006F7FD2">
        <w:t xml:space="preserve"> described the </w:t>
      </w:r>
      <w:r w:rsidR="009C379D">
        <w:t xml:space="preserve">final impact of COVID-19 as “highly uncertain”, the bar </w:t>
      </w:r>
      <w:r w:rsidR="00CC3551">
        <w:t xml:space="preserve">is unlikely to be set high </w:t>
      </w:r>
      <w:r w:rsidR="009C379D">
        <w:t xml:space="preserve">for a “reasonable director” </w:t>
      </w:r>
      <w:r w:rsidR="00CC3551">
        <w:t>when making</w:t>
      </w:r>
      <w:r w:rsidR="009C379D">
        <w:t xml:space="preserve"> a good faith assessment of the impact of COVID-19 on a particular company. However, </w:t>
      </w:r>
      <w:r w:rsidR="00130805">
        <w:t xml:space="preserve">looking at the issue through an alternative lens, </w:t>
      </w:r>
      <w:r w:rsidR="009C379D">
        <w:t xml:space="preserve">it may also be that the </w:t>
      </w:r>
      <w:r w:rsidR="00133024">
        <w:t>high</w:t>
      </w:r>
      <w:r w:rsidR="009C379D">
        <w:t xml:space="preserve"> degree of </w:t>
      </w:r>
      <w:r w:rsidR="009C379D">
        <w:lastRenderedPageBreak/>
        <w:t xml:space="preserve">uncertainty </w:t>
      </w:r>
      <w:r w:rsidR="00133024">
        <w:t>of outcome</w:t>
      </w:r>
      <w:r w:rsidR="009C379D">
        <w:t xml:space="preserve"> will, despite the safe-harbour rules, have a chilling and risk-adverse effect on </w:t>
      </w:r>
      <w:r w:rsidR="00CC3551">
        <w:t xml:space="preserve">directors’ </w:t>
      </w:r>
      <w:r w:rsidR="009C379D">
        <w:t xml:space="preserve">decision making. </w:t>
      </w:r>
    </w:p>
    <w:p w:rsidR="009C379D" w:rsidRDefault="009C379D" w:rsidP="009C379D">
      <w:r>
        <w:t xml:space="preserve">Directors who cannot discharge the burden of proof with respect to the safe harbour rules will be subject to the full impact of s 135. </w:t>
      </w:r>
      <w:r w:rsidR="00E6399D">
        <w:t>C</w:t>
      </w:r>
      <w:r w:rsidR="00100552">
        <w:t>laim</w:t>
      </w:r>
      <w:r w:rsidR="00E6399D">
        <w:t>s</w:t>
      </w:r>
      <w:r>
        <w:t xml:space="preserve"> </w:t>
      </w:r>
      <w:r w:rsidR="00CC3551">
        <w:t>founded on risk to creditors arising from balance sheet insolvency</w:t>
      </w:r>
      <w:r w:rsidR="00100552">
        <w:t xml:space="preserve"> fall outside </w:t>
      </w:r>
      <w:r w:rsidR="00E6399D">
        <w:t xml:space="preserve">the ambit of </w:t>
      </w:r>
      <w:r w:rsidR="00566D83">
        <w:t>new rules</w:t>
      </w:r>
      <w:r>
        <w:t>.</w:t>
      </w:r>
      <w:r>
        <w:rPr>
          <w:rStyle w:val="FootnoteReference"/>
        </w:rPr>
        <w:footnoteReference w:id="34"/>
      </w:r>
      <w:r w:rsidR="00E77C7A">
        <w:t xml:space="preserve"> </w:t>
      </w:r>
      <w:r w:rsidR="00100552">
        <w:t>Claims for</w:t>
      </w:r>
      <w:r w:rsidR="00E77C7A">
        <w:t xml:space="preserve"> breach of s 135 are often made in conjunction with claims for breach of the duty of good faith (as it applies in an in</w:t>
      </w:r>
      <w:r w:rsidR="00133024">
        <w:t>solvency context where creditor</w:t>
      </w:r>
      <w:r w:rsidR="00E77C7A">
        <w:t>s</w:t>
      </w:r>
      <w:r w:rsidR="00133024">
        <w:t>’</w:t>
      </w:r>
      <w:r w:rsidR="00E77C7A">
        <w:t xml:space="preserve"> interests are included in assessment of what is in the company’s best interests)</w:t>
      </w:r>
      <w:r w:rsidR="00130805">
        <w:rPr>
          <w:rStyle w:val="FootnoteReference"/>
        </w:rPr>
        <w:footnoteReference w:id="35"/>
      </w:r>
      <w:r w:rsidR="00E77C7A">
        <w:t xml:space="preserve"> and the duty of care, skill and diligence.</w:t>
      </w:r>
      <w:r w:rsidR="00130805">
        <w:rPr>
          <w:rStyle w:val="FootnoteReference"/>
        </w:rPr>
        <w:footnoteReference w:id="36"/>
      </w:r>
      <w:r w:rsidR="00130805">
        <w:t xml:space="preserve"> </w:t>
      </w:r>
      <w:r w:rsidR="00CC3551">
        <w:t>L</w:t>
      </w:r>
      <w:r w:rsidR="00130805">
        <w:t>iquidators and creditors</w:t>
      </w:r>
      <w:r w:rsidR="00100552">
        <w:t xml:space="preserve"> </w:t>
      </w:r>
      <w:r w:rsidR="00CC3551">
        <w:t>may</w:t>
      </w:r>
      <w:r w:rsidR="00100552">
        <w:t xml:space="preserve"> circumvent the safe-harbour rules by </w:t>
      </w:r>
      <w:r w:rsidR="00130805">
        <w:t xml:space="preserve">founding a claim on </w:t>
      </w:r>
      <w:r w:rsidR="00100552">
        <w:t xml:space="preserve">a breach of </w:t>
      </w:r>
      <w:r w:rsidR="00130805">
        <w:t>these other duties.</w:t>
      </w:r>
      <w:r w:rsidR="00130805">
        <w:rPr>
          <w:rStyle w:val="FootnoteReference"/>
        </w:rPr>
        <w:footnoteReference w:id="37"/>
      </w:r>
    </w:p>
    <w:p w:rsidR="00566D83" w:rsidRDefault="00130805" w:rsidP="009C379D">
      <w:r>
        <w:t xml:space="preserve">The second of the insolvent trading duties is </w:t>
      </w:r>
      <w:r w:rsidR="00100552">
        <w:t>the duty in r</w:t>
      </w:r>
      <w:r w:rsidR="00566D83">
        <w:t>elation to obligations in s 136.</w:t>
      </w:r>
      <w:r w:rsidR="00100552">
        <w:t xml:space="preserve"> </w:t>
      </w:r>
      <w:r w:rsidR="00566D83">
        <w:t>Section 136</w:t>
      </w:r>
      <w:r w:rsidR="00100552">
        <w:t xml:space="preserve"> provides that a director must not agree to a company incurring an obligation unless the director believes at that time on reasonable grounds that the company will be able to perform the obligation when it is required to do so.</w:t>
      </w:r>
      <w:r w:rsidR="0083248F">
        <w:t xml:space="preserve"> Satisfaction o</w:t>
      </w:r>
      <w:r w:rsidR="00133024">
        <w:t>f</w:t>
      </w:r>
      <w:r w:rsidR="0083248F">
        <w:t xml:space="preserve"> the objective element of this test requires a degree of certainty that the company will be able to perform an obligation when required to do so.</w:t>
      </w:r>
      <w:r w:rsidR="0083248F">
        <w:rPr>
          <w:rStyle w:val="FootnoteReference"/>
        </w:rPr>
        <w:footnoteReference w:id="38"/>
      </w:r>
      <w:r w:rsidR="0083248F">
        <w:t xml:space="preserve"> </w:t>
      </w:r>
    </w:p>
    <w:p w:rsidR="00130805" w:rsidRDefault="0083248F" w:rsidP="009C379D">
      <w:r>
        <w:t xml:space="preserve">The </w:t>
      </w:r>
      <w:r w:rsidR="00CC3551">
        <w:t>new rules</w:t>
      </w:r>
      <w:r w:rsidR="00566D83">
        <w:t xml:space="preserve"> apply</w:t>
      </w:r>
      <w:r>
        <w:t xml:space="preserve"> to a director who, during </w:t>
      </w:r>
      <w:r w:rsidR="00CC3551">
        <w:t>the</w:t>
      </w:r>
      <w:r>
        <w:t xml:space="preserve"> safe harbour period,</w:t>
      </w:r>
      <w:r w:rsidR="000A3597">
        <w:rPr>
          <w:rStyle w:val="FootnoteReference"/>
        </w:rPr>
        <w:footnoteReference w:id="39"/>
      </w:r>
      <w:r>
        <w:t xml:space="preserve"> agrees to the company incurring an obligation and at this time</w:t>
      </w:r>
      <w:r w:rsidR="00CC3551">
        <w:t xml:space="preserve"> has the good faith</w:t>
      </w:r>
      <w:r>
        <w:t xml:space="preserve"> opinion that the company has, or in the next six months is likely to have, significant liquidity problems.</w:t>
      </w:r>
      <w:r>
        <w:rPr>
          <w:rStyle w:val="FootnoteReference"/>
        </w:rPr>
        <w:footnoteReference w:id="40"/>
      </w:r>
      <w:r>
        <w:t xml:space="preserve"> A director is deemed to have reasonable grounds to believe that the company will be able to perform the obligation when it is required to so if the director, in good faith, is of the opinion that –</w:t>
      </w:r>
      <w:r>
        <w:rPr>
          <w:rStyle w:val="FootnoteReference"/>
        </w:rPr>
        <w:footnoteReference w:id="41"/>
      </w:r>
    </w:p>
    <w:p w:rsidR="000A3597" w:rsidRDefault="000A3597" w:rsidP="000A3597">
      <w:pPr>
        <w:pStyle w:val="ListParagraph"/>
        <w:numPr>
          <w:ilvl w:val="0"/>
          <w:numId w:val="3"/>
        </w:numPr>
      </w:pPr>
      <w:r>
        <w:t>the liquidity problems are, or will be, a result of the effects of COVID-19 on the company, its debtors, or its creditors; and</w:t>
      </w:r>
    </w:p>
    <w:p w:rsidR="000A3597" w:rsidRDefault="000A3597" w:rsidP="000A3597">
      <w:pPr>
        <w:pStyle w:val="ListParagraph"/>
        <w:numPr>
          <w:ilvl w:val="0"/>
          <w:numId w:val="3"/>
        </w:numPr>
      </w:pPr>
      <w:proofErr w:type="gramStart"/>
      <w:r>
        <w:t>it</w:t>
      </w:r>
      <w:proofErr w:type="gramEnd"/>
      <w:r>
        <w:t xml:space="preserve"> is more likely than not that the company will be able to pay its due debts on and after … [30 September 2021</w:t>
      </w:r>
      <w:r>
        <w:rPr>
          <w:rStyle w:val="FootnoteReference"/>
        </w:rPr>
        <w:footnoteReference w:id="42"/>
      </w:r>
      <w:r>
        <w:t xml:space="preserve"> or any later date prescribed by regulation].</w:t>
      </w:r>
    </w:p>
    <w:p w:rsidR="000A3597" w:rsidRDefault="000A3597" w:rsidP="000A3597">
      <w:r>
        <w:t>For the purposes of making the opinion required in para (b) above, a director may have regard to the likelihood of trading conditions impro</w:t>
      </w:r>
      <w:r w:rsidR="00A034FA">
        <w:t>ving;</w:t>
      </w:r>
      <w:r>
        <w:t xml:space="preserve"> the likelihood of the company reaching a compromise or other arran</w:t>
      </w:r>
      <w:r w:rsidR="00A034FA">
        <w:t>gement with its creditors; and</w:t>
      </w:r>
      <w:r>
        <w:t xml:space="preserve"> any other matter the director considers to be relevant.</w:t>
      </w:r>
    </w:p>
    <w:p w:rsidR="000A3597" w:rsidRDefault="000A3597" w:rsidP="000A3597">
      <w:r>
        <w:t xml:space="preserve">The safe harbour rules as they apply to s 136 are subject to the same limitations </w:t>
      </w:r>
      <w:r w:rsidR="00566D83">
        <w:t xml:space="preserve">as </w:t>
      </w:r>
      <w:r>
        <w:t xml:space="preserve">apply in respect of s 135. </w:t>
      </w:r>
    </w:p>
    <w:p w:rsidR="00A034FA" w:rsidRDefault="000A3597" w:rsidP="000A3597">
      <w:pPr>
        <w:rPr>
          <w:b/>
        </w:rPr>
      </w:pPr>
      <w:r>
        <w:rPr>
          <w:b/>
        </w:rPr>
        <w:t xml:space="preserve">Business debt hibernation </w:t>
      </w:r>
    </w:p>
    <w:p w:rsidR="00E02060" w:rsidRDefault="00CC3551" w:rsidP="000A3597">
      <w:r>
        <w:lastRenderedPageBreak/>
        <w:t>Like the insolvent trading safe harbour rules, the</w:t>
      </w:r>
      <w:r w:rsidR="000A3597">
        <w:t xml:space="preserve"> enactment of a new</w:t>
      </w:r>
      <w:r w:rsidR="001C3B9D">
        <w:t xml:space="preserve"> </w:t>
      </w:r>
      <w:r w:rsidR="000A3597">
        <w:t>“rescue” collective insolvency procedure,</w:t>
      </w:r>
      <w:r w:rsidR="000F31DF">
        <w:rPr>
          <w:rStyle w:val="FootnoteReference"/>
        </w:rPr>
        <w:footnoteReference w:id="43"/>
      </w:r>
      <w:r w:rsidR="000A3597">
        <w:t xml:space="preserve"> </w:t>
      </w:r>
      <w:r w:rsidR="00E02060">
        <w:t xml:space="preserve">business </w:t>
      </w:r>
      <w:r w:rsidR="000A3597">
        <w:t xml:space="preserve">debt hibernation </w:t>
      </w:r>
      <w:r w:rsidR="00E02060">
        <w:t>(BDH)</w:t>
      </w:r>
      <w:r w:rsidR="00566D83">
        <w:t xml:space="preserve">, was </w:t>
      </w:r>
      <w:r w:rsidR="000A3597">
        <w:t xml:space="preserve">signalled by the Government </w:t>
      </w:r>
      <w:r>
        <w:t xml:space="preserve">in early April </w:t>
      </w:r>
      <w:r w:rsidR="00133024">
        <w:t>2020</w:t>
      </w:r>
      <w:r w:rsidR="000A3597">
        <w:t xml:space="preserve">. </w:t>
      </w:r>
      <w:r w:rsidR="00197055">
        <w:t>The new procedure is</w:t>
      </w:r>
      <w:r w:rsidR="0068020D">
        <w:t xml:space="preserve"> a hybrid between </w:t>
      </w:r>
      <w:r>
        <w:t xml:space="preserve">two collective rescue procedures available to companies under the </w:t>
      </w:r>
      <w:r w:rsidR="001108FA">
        <w:rPr>
          <w:i/>
        </w:rPr>
        <w:t xml:space="preserve">Companies Act – </w:t>
      </w:r>
      <w:r w:rsidR="001108FA">
        <w:t>voluntary administration</w:t>
      </w:r>
      <w:r w:rsidR="0068020D">
        <w:rPr>
          <w:rStyle w:val="FootnoteReference"/>
        </w:rPr>
        <w:footnoteReference w:id="44"/>
      </w:r>
      <w:r w:rsidR="0068020D">
        <w:t xml:space="preserve"> and </w:t>
      </w:r>
      <w:proofErr w:type="spellStart"/>
      <w:r>
        <w:t>pt</w:t>
      </w:r>
      <w:proofErr w:type="spellEnd"/>
      <w:r>
        <w:t xml:space="preserve"> 14 </w:t>
      </w:r>
      <w:r w:rsidR="0068020D">
        <w:t>compromises with creditors.</w:t>
      </w:r>
      <w:r w:rsidR="0068020D">
        <w:rPr>
          <w:rStyle w:val="FootnoteReference"/>
        </w:rPr>
        <w:footnoteReference w:id="45"/>
      </w:r>
      <w:r w:rsidR="002A0A67">
        <w:t xml:space="preserve"> With specified exceptions,</w:t>
      </w:r>
      <w:r w:rsidR="002A0A67">
        <w:rPr>
          <w:rStyle w:val="FootnoteReference"/>
        </w:rPr>
        <w:footnoteReference w:id="46"/>
      </w:r>
      <w:r w:rsidR="002A0A67">
        <w:t xml:space="preserve"> the regime is available to companies and other entities (including limited partnerships, partnerships, other body corporates and unincorporated associations).</w:t>
      </w:r>
      <w:r w:rsidR="002A0A67">
        <w:rPr>
          <w:rStyle w:val="FootnoteReference"/>
        </w:rPr>
        <w:footnoteReference w:id="47"/>
      </w:r>
      <w:r w:rsidR="002A0A67">
        <w:t xml:space="preserve"> </w:t>
      </w:r>
      <w:r w:rsidR="001C3B9D">
        <w:t>An entity may not enter into BDH after 24 December 2020 or any later date prescribed by regulation,</w:t>
      </w:r>
      <w:r w:rsidR="001C3B9D">
        <w:rPr>
          <w:rStyle w:val="FootnoteReference"/>
        </w:rPr>
        <w:footnoteReference w:id="48"/>
      </w:r>
      <w:r w:rsidR="001C3B9D">
        <w:t xml:space="preserve"> but this rule does not terminate a BDH entered into prior to either of these times.</w:t>
      </w:r>
      <w:r w:rsidR="001C3B9D">
        <w:rPr>
          <w:rStyle w:val="FootnoteReference"/>
        </w:rPr>
        <w:footnoteReference w:id="49"/>
      </w:r>
      <w:r w:rsidR="001C3B9D">
        <w:t xml:space="preserve"> </w:t>
      </w:r>
    </w:p>
    <w:p w:rsidR="000A3597" w:rsidRDefault="00E02060" w:rsidP="000A3597">
      <w:r>
        <w:t>BDH</w:t>
      </w:r>
      <w:r w:rsidR="002A0A67">
        <w:t xml:space="preserve"> has two stated purposes. The first is to provide for the business, property and affairs of an entity that is suffering, or may suffer, significant liquidity problems as a result of the </w:t>
      </w:r>
      <w:r w:rsidR="00116118">
        <w:t>COVID-19 outbreak to operate in a way that (a) maximises the chances of the entity, or as much as possible of its business, continuing in existence; or (b) if it is not possible for the entity or its business to continue in existence, results in a better return for the entity’s creditors than would result from the immediate liquidation of the entity.</w:t>
      </w:r>
      <w:r w:rsidR="00116118">
        <w:rPr>
          <w:rStyle w:val="FootnoteReference"/>
        </w:rPr>
        <w:footnoteReference w:id="50"/>
      </w:r>
      <w:r w:rsidR="00116118">
        <w:t xml:space="preserve"> This purposes mirrors </w:t>
      </w:r>
      <w:r w:rsidR="00CC3551">
        <w:t>that</w:t>
      </w:r>
      <w:r w:rsidR="00116118">
        <w:t xml:space="preserve"> of the voluntary administration scheme </w:t>
      </w:r>
      <w:r w:rsidR="00CC3551">
        <w:t xml:space="preserve">under </w:t>
      </w:r>
      <w:proofErr w:type="spellStart"/>
      <w:r w:rsidR="00CC3551">
        <w:t>p</w:t>
      </w:r>
      <w:r w:rsidR="00116118">
        <w:t>t</w:t>
      </w:r>
      <w:proofErr w:type="spellEnd"/>
      <w:r w:rsidR="00116118">
        <w:t xml:space="preserve"> 15A of the </w:t>
      </w:r>
      <w:r w:rsidR="00116118" w:rsidRPr="00CC3551">
        <w:rPr>
          <w:i/>
        </w:rPr>
        <w:t>Companies Act</w:t>
      </w:r>
      <w:r w:rsidR="00116118">
        <w:t>. A</w:t>
      </w:r>
      <w:r w:rsidR="005F125D">
        <w:t>n additional purpose is to give</w:t>
      </w:r>
      <w:r w:rsidR="00116118">
        <w:t xml:space="preserve"> an entity some temporary protections relating to its debts in order to give it an opportunity to develop, with its creditors, a longer-term approach to its liquidity problems.</w:t>
      </w:r>
      <w:r w:rsidR="00116118">
        <w:rPr>
          <w:rStyle w:val="FootnoteReference"/>
        </w:rPr>
        <w:footnoteReference w:id="51"/>
      </w:r>
      <w:r w:rsidR="00116118">
        <w:t xml:space="preserve"> It is expressly stated not to be a purpose to allow for the cancellation of any of the debts of the entity, or to allow for a creditor’s rights to be varied in any significant way after the end of a temporary period of protection.</w:t>
      </w:r>
      <w:r w:rsidR="00116118">
        <w:rPr>
          <w:rStyle w:val="FootnoteReference"/>
        </w:rPr>
        <w:footnoteReference w:id="52"/>
      </w:r>
      <w:r w:rsidR="00116118">
        <w:t xml:space="preserve"> </w:t>
      </w:r>
      <w:r>
        <w:t>BDH thus does not permit the</w:t>
      </w:r>
      <w:r w:rsidR="00116118">
        <w:t xml:space="preserve"> kind of long-term </w:t>
      </w:r>
      <w:r>
        <w:t xml:space="preserve">and significant </w:t>
      </w:r>
      <w:r w:rsidR="00116118">
        <w:t xml:space="preserve">restructuring </w:t>
      </w:r>
      <w:r>
        <w:t>available under the</w:t>
      </w:r>
      <w:r w:rsidR="00116118">
        <w:t xml:space="preserve"> compromise and voluntary administration </w:t>
      </w:r>
      <w:r>
        <w:t xml:space="preserve">regimes in the </w:t>
      </w:r>
      <w:r w:rsidR="001C3B9D" w:rsidRPr="00133024">
        <w:rPr>
          <w:i/>
        </w:rPr>
        <w:t>Companies Act</w:t>
      </w:r>
      <w:r w:rsidR="001C3B9D">
        <w:t>. It is also not a purpose of the new regime to facilitate the ability of an entity that has no realistic prospect of continuing to trade or operate in the medium or long term to defer a decision to enter into liquidation to the detriment of its creditors.</w:t>
      </w:r>
      <w:r w:rsidR="001C3B9D">
        <w:rPr>
          <w:rStyle w:val="FootnoteReference"/>
        </w:rPr>
        <w:footnoteReference w:id="53"/>
      </w:r>
    </w:p>
    <w:p w:rsidR="00197055" w:rsidRDefault="00197055" w:rsidP="000A3597">
      <w:r>
        <w:t xml:space="preserve">The term “creditor” is defined to include secured creditors, but </w:t>
      </w:r>
      <w:r w:rsidR="00133024">
        <w:t>to exclude</w:t>
      </w:r>
      <w:r>
        <w:t xml:space="preserve"> creditors who are owed or must be paid an “excluded debt”. </w:t>
      </w:r>
      <w:r w:rsidR="00563B99">
        <w:t>“E</w:t>
      </w:r>
      <w:r>
        <w:t xml:space="preserve">xcluded debt” </w:t>
      </w:r>
      <w:r w:rsidR="00563B99">
        <w:t>is defined to include</w:t>
      </w:r>
      <w:r>
        <w:t xml:space="preserve"> a debt incurred after an entity’s entry into BDH; wages, salaries or other amounts payable to employees in connection with their employment relationships; and amounts payable to the Commissioner of Inland Revenue (</w:t>
      </w:r>
      <w:r w:rsidR="00133024">
        <w:t xml:space="preserve">including </w:t>
      </w:r>
      <w:r>
        <w:t xml:space="preserve">PAYE, child support, student loan repayments, </w:t>
      </w:r>
      <w:proofErr w:type="spellStart"/>
      <w:r>
        <w:t>kiwisaver</w:t>
      </w:r>
      <w:proofErr w:type="spellEnd"/>
      <w:r>
        <w:t xml:space="preserve"> contributions and amounts payable under an instalment arrangement made with the </w:t>
      </w:r>
      <w:r w:rsidR="00191708">
        <w:t>Commissioner). Although an entity entering BDH may gain time relief from its obligations arising with respect non-excluded debts, it must remain able to pay its excluded debts as they fall due</w:t>
      </w:r>
      <w:r w:rsidR="00A034FA">
        <w:t xml:space="preserve"> or risk forced entry into liquidation, voluntary administration, or the appointment of a receiver</w:t>
      </w:r>
      <w:r w:rsidR="00191708">
        <w:t>.</w:t>
      </w:r>
    </w:p>
    <w:p w:rsidR="00197055" w:rsidRDefault="00191708" w:rsidP="000A3597">
      <w:r>
        <w:lastRenderedPageBreak/>
        <w:t>Although BDH does not require the appointment (and consequent expense) of an insolvency practitioner</w:t>
      </w:r>
      <w:r w:rsidR="00563B99">
        <w:t xml:space="preserve">, so that control </w:t>
      </w:r>
      <w:r w:rsidR="000F31DF">
        <w:t xml:space="preserve">remains with </w:t>
      </w:r>
      <w:r w:rsidR="00563B99">
        <w:t>the entity’s</w:t>
      </w:r>
      <w:r w:rsidR="000F31DF">
        <w:t xml:space="preserve"> board</w:t>
      </w:r>
      <w:r>
        <w:t xml:space="preserve">, the procedural entry and ongoing requirements are considerable. The Companies Office has drafted detailed information </w:t>
      </w:r>
      <w:r w:rsidR="000F31DF">
        <w:t xml:space="preserve">and standard forms for </w:t>
      </w:r>
      <w:r w:rsidR="00563B99">
        <w:t xml:space="preserve">use by </w:t>
      </w:r>
      <w:r w:rsidR="000F31DF">
        <w:t>entities</w:t>
      </w:r>
      <w:r w:rsidR="00563B99">
        <w:t xml:space="preserve"> and their advisors</w:t>
      </w:r>
      <w:r w:rsidR="000F31DF">
        <w:t>,</w:t>
      </w:r>
      <w:r w:rsidR="000F31DF">
        <w:rPr>
          <w:rStyle w:val="FootnoteReference"/>
        </w:rPr>
        <w:footnoteReference w:id="54"/>
      </w:r>
      <w:r>
        <w:t xml:space="preserve"> but procedural requirements and </w:t>
      </w:r>
      <w:r w:rsidR="00A034FA">
        <w:t xml:space="preserve">the </w:t>
      </w:r>
      <w:r>
        <w:t xml:space="preserve">limited time period in which the new regime is </w:t>
      </w:r>
      <w:r w:rsidR="005F125D">
        <w:t>intended to operate mean that it i</w:t>
      </w:r>
      <w:r>
        <w:t xml:space="preserve">s likely to be taken up only by entities acting with professional advice </w:t>
      </w:r>
      <w:r w:rsidR="000F31DF">
        <w:t xml:space="preserve">(and only then after weighing up alternative insolvency procedures) </w:t>
      </w:r>
      <w:r>
        <w:t xml:space="preserve">and with sufficient numbers of non-excluded debts to make entering BDH a more viable option than negotiating </w:t>
      </w:r>
      <w:r w:rsidR="00A034FA">
        <w:t>a private work-out with its</w:t>
      </w:r>
      <w:r>
        <w:t xml:space="preserve"> creditors.</w:t>
      </w:r>
    </w:p>
    <w:p w:rsidR="0031617A" w:rsidRPr="0031617A" w:rsidRDefault="0031617A" w:rsidP="000A3597">
      <w:pPr>
        <w:rPr>
          <w:i/>
        </w:rPr>
      </w:pPr>
      <w:r>
        <w:rPr>
          <w:i/>
        </w:rPr>
        <w:t>Entry into BDH</w:t>
      </w:r>
    </w:p>
    <w:p w:rsidR="00397022" w:rsidRDefault="00EF02F1" w:rsidP="000A3597">
      <w:r>
        <w:t>The decision to enter BDH rests with the</w:t>
      </w:r>
      <w:r w:rsidR="00397022">
        <w:t xml:space="preserve"> entity’s board</w:t>
      </w:r>
      <w:r w:rsidR="00397022">
        <w:rPr>
          <w:rStyle w:val="FootnoteReference"/>
        </w:rPr>
        <w:footnoteReference w:id="55"/>
      </w:r>
      <w:r w:rsidR="00397022">
        <w:t xml:space="preserve"> </w:t>
      </w:r>
      <w:r>
        <w:t>but only</w:t>
      </w:r>
      <w:r w:rsidR="00397022">
        <w:t xml:space="preserve"> if three cumulative criteria are met:</w:t>
      </w:r>
      <w:r w:rsidR="00397022">
        <w:rPr>
          <w:rStyle w:val="FootnoteReference"/>
        </w:rPr>
        <w:footnoteReference w:id="56"/>
      </w:r>
    </w:p>
    <w:p w:rsidR="00397022" w:rsidRDefault="00EF02F1" w:rsidP="00EF02F1">
      <w:pPr>
        <w:pStyle w:val="ListParagraph"/>
        <w:numPr>
          <w:ilvl w:val="0"/>
          <w:numId w:val="5"/>
        </w:numPr>
      </w:pPr>
      <w:r>
        <w:t>as at 31 December 2019 the entity was able to pay its debts as they became due in the normal course of business; and</w:t>
      </w:r>
    </w:p>
    <w:p w:rsidR="00EF02F1" w:rsidRDefault="00EF02F1" w:rsidP="00EF02F1">
      <w:pPr>
        <w:pStyle w:val="ListParagraph"/>
        <w:numPr>
          <w:ilvl w:val="0"/>
          <w:numId w:val="5"/>
        </w:numPr>
      </w:pPr>
      <w:r>
        <w:t>at least 80% of the entity’s directors</w:t>
      </w:r>
      <w:r>
        <w:rPr>
          <w:rStyle w:val="FootnoteReference"/>
        </w:rPr>
        <w:footnoteReference w:id="57"/>
      </w:r>
      <w:r>
        <w:t xml:space="preserve"> vote in favour of the resolution to enter BDH; and</w:t>
      </w:r>
    </w:p>
    <w:p w:rsidR="00EF02F1" w:rsidRPr="00EF02F1" w:rsidRDefault="00EF02F1" w:rsidP="00EF02F1">
      <w:pPr>
        <w:pStyle w:val="ListParagraph"/>
        <w:numPr>
          <w:ilvl w:val="0"/>
          <w:numId w:val="5"/>
        </w:numPr>
      </w:pPr>
      <w:r>
        <w:t>each director voting in favour of the entry into BDH signs a certificate stating that the company was able to pay its debts as they became due on 31 December 2019, and that it is the director’s good faith opinion that (a) the entity has, or in the  next six months is likely to have, significant liquidity problems; (b) the liquidity problems are, or will be, a result of the effects of COVID-19 on the entity, its debtors, or its creditors; and (c) it is more likely than not that the entity will be able to pay its due debts on and after 30 September 2020 or any later prescribed date.</w:t>
      </w:r>
      <w:r w:rsidR="002A7114">
        <w:t xml:space="preserve"> In making the assessment under (c),</w:t>
      </w:r>
      <w:r w:rsidR="002A7114">
        <w:rPr>
          <w:rStyle w:val="FootnoteReference"/>
        </w:rPr>
        <w:footnoteReference w:id="58"/>
      </w:r>
      <w:r w:rsidR="002A7114">
        <w:t xml:space="preserve"> a director may have regard to the likelihood </w:t>
      </w:r>
      <w:r w:rsidR="005F125D">
        <w:t>of trading conditions improving;</w:t>
      </w:r>
      <w:r w:rsidR="002A7114">
        <w:t xml:space="preserve"> the likelihood of creditors approving an arrangement under the BDH regime (or the entity reaching a compromise or other </w:t>
      </w:r>
      <w:r w:rsidR="005F125D">
        <w:t>arrangement with its creditors);</w:t>
      </w:r>
      <w:r w:rsidR="002A7114">
        <w:t xml:space="preserve"> and any other matter the director thinks relevant.</w:t>
      </w:r>
      <w:r w:rsidR="002A7114">
        <w:rPr>
          <w:rStyle w:val="FootnoteReference"/>
        </w:rPr>
        <w:footnoteReference w:id="59"/>
      </w:r>
    </w:p>
    <w:p w:rsidR="001C3B9D" w:rsidRDefault="002A7114" w:rsidP="000A3597">
      <w:r>
        <w:t>An entity enters BDH by delivering to the Registrar</w:t>
      </w:r>
      <w:r w:rsidR="00FC682D">
        <w:t xml:space="preserve"> of Companies (the Registrar)</w:t>
      </w:r>
      <w:r>
        <w:t xml:space="preserve"> a notice that states that the entity’s board has agreed to it entering BDH.</w:t>
      </w:r>
      <w:r>
        <w:rPr>
          <w:rStyle w:val="FootnoteReference"/>
        </w:rPr>
        <w:footnoteReference w:id="60"/>
      </w:r>
      <w:r>
        <w:t xml:space="preserve"> The board must also send to each of the entity’s known creditors a copy of the notice delivered to the Registrar</w:t>
      </w:r>
      <w:r w:rsidR="00563B99">
        <w:t xml:space="preserve"> plus</w:t>
      </w:r>
      <w:r>
        <w:t xml:space="preserve"> other specified information</w:t>
      </w:r>
      <w:r w:rsidR="00563B99">
        <w:t>.</w:t>
      </w:r>
      <w:r w:rsidR="00563B99">
        <w:rPr>
          <w:rStyle w:val="FootnoteReference"/>
        </w:rPr>
        <w:footnoteReference w:id="61"/>
      </w:r>
      <w:r>
        <w:t xml:space="preserve"> </w:t>
      </w:r>
      <w:r w:rsidR="00563B99">
        <w:t xml:space="preserve">The specified information includes </w:t>
      </w:r>
      <w:r>
        <w:t>at least a high-level description</w:t>
      </w:r>
      <w:r w:rsidR="00FC682D">
        <w:t xml:space="preserve"> of a proposed arrangement between the entity and its creditors that is intended to address the entity’s significant liquidity problems; a statement of the amount owed, or estimated to be owed, to the creditor receiving the notice; and a list of the entity’s known creditors together with the amount owing (or </w:t>
      </w:r>
      <w:r w:rsidR="00FC682D">
        <w:lastRenderedPageBreak/>
        <w:t>estimated to be owing) to each and the total amount owing (or estimat</w:t>
      </w:r>
      <w:r w:rsidR="00563B99">
        <w:t>ed to be owed) to all creditors</w:t>
      </w:r>
      <w:r w:rsidR="00FC682D">
        <w:t>.</w:t>
      </w:r>
      <w:r w:rsidR="00FC682D">
        <w:rPr>
          <w:rStyle w:val="FootnoteReference"/>
        </w:rPr>
        <w:footnoteReference w:id="62"/>
      </w:r>
    </w:p>
    <w:p w:rsidR="0031617A" w:rsidRPr="0031617A" w:rsidRDefault="0031617A" w:rsidP="000A3597">
      <w:pPr>
        <w:rPr>
          <w:i/>
        </w:rPr>
      </w:pPr>
      <w:r>
        <w:rPr>
          <w:i/>
        </w:rPr>
        <w:t>Protections for an entity in BDH</w:t>
      </w:r>
    </w:p>
    <w:p w:rsidR="00FC682D" w:rsidRDefault="00FC682D" w:rsidP="000A3597">
      <w:r>
        <w:t xml:space="preserve">From the time that the entity enters into BDH (which is from the time that the entity delivers the notice to this effect to the Registrar), it has the benefit of </w:t>
      </w:r>
      <w:r w:rsidR="00A034FA">
        <w:t xml:space="preserve">the </w:t>
      </w:r>
      <w:r>
        <w:t xml:space="preserve">protections specified in </w:t>
      </w:r>
      <w:proofErr w:type="spellStart"/>
      <w:r>
        <w:t>pt</w:t>
      </w:r>
      <w:proofErr w:type="spellEnd"/>
      <w:r>
        <w:t xml:space="preserve"> 5 of the statutory scheme.</w:t>
      </w:r>
      <w:r>
        <w:rPr>
          <w:rStyle w:val="FootnoteReference"/>
        </w:rPr>
        <w:footnoteReference w:id="63"/>
      </w:r>
      <w:r>
        <w:t xml:space="preserve"> These generally apply for one month (or earlier if creditors do not approve </w:t>
      </w:r>
      <w:r w:rsidR="00300000">
        <w:t>board proposed arrangement</w:t>
      </w:r>
      <w:r>
        <w:t xml:space="preserve">) and for an additional six months if creditors </w:t>
      </w:r>
      <w:r w:rsidR="00563B99">
        <w:t xml:space="preserve">do </w:t>
      </w:r>
      <w:r>
        <w:t>approve an arrangement.</w:t>
      </w:r>
      <w:r>
        <w:rPr>
          <w:rStyle w:val="FootnoteReference"/>
        </w:rPr>
        <w:footnoteReference w:id="64"/>
      </w:r>
      <w:r>
        <w:t xml:space="preserve"> </w:t>
      </w:r>
      <w:r w:rsidR="00300000">
        <w:t>The</w:t>
      </w:r>
      <w:r w:rsidR="00A034FA">
        <w:t xml:space="preserve"> </w:t>
      </w:r>
      <w:r w:rsidR="00300000">
        <w:t xml:space="preserve">protections are lost if the entity </w:t>
      </w:r>
      <w:r w:rsidR="00A034FA">
        <w:t>enters</w:t>
      </w:r>
      <w:r w:rsidR="00300000">
        <w:t xml:space="preserve"> another collective insolvency procedure under the Companies Act or </w:t>
      </w:r>
      <w:r w:rsidR="00A034FA">
        <w:t>a receiver is appointed</w:t>
      </w:r>
      <w:r w:rsidR="00300000">
        <w:t>,</w:t>
      </w:r>
      <w:r w:rsidR="00300000">
        <w:rPr>
          <w:rStyle w:val="FootnoteReference"/>
        </w:rPr>
        <w:footnoteReference w:id="65"/>
      </w:r>
      <w:r w:rsidR="00300000">
        <w:t xml:space="preserve"> and in a number of other specified circumstances.</w:t>
      </w:r>
      <w:r w:rsidR="00300000">
        <w:rPr>
          <w:rStyle w:val="FootnoteReference"/>
        </w:rPr>
        <w:footnoteReference w:id="66"/>
      </w:r>
      <w:r w:rsidR="00300000">
        <w:t xml:space="preserve"> Significantly, the protections do not apply to </w:t>
      </w:r>
      <w:r w:rsidR="00566D83">
        <w:t>a general security holder</w:t>
      </w:r>
      <w:r w:rsidR="00300000">
        <w:t xml:space="preserve"> </w:t>
      </w:r>
      <w:r w:rsidR="00D66099">
        <w:t xml:space="preserve">or to the debts owed to </w:t>
      </w:r>
      <w:r w:rsidR="00566D83">
        <w:t>a general security holder</w:t>
      </w:r>
      <w:r w:rsidR="00563B99">
        <w:t xml:space="preserve">. A general security holder is </w:t>
      </w:r>
      <w:r w:rsidR="00D66099">
        <w:t>defined as a secured creditor that holds a charge (or 2 or more charges which together constitute a charge) over the whole or substantially the whole of the property of the entity</w:t>
      </w:r>
      <w:r w:rsidR="008C0899">
        <w:t>.</w:t>
      </w:r>
      <w:r w:rsidR="00300000">
        <w:rPr>
          <w:rStyle w:val="FootnoteReference"/>
        </w:rPr>
        <w:footnoteReference w:id="67"/>
      </w:r>
      <w:r w:rsidR="008C0899">
        <w:t xml:space="preserve"> </w:t>
      </w:r>
      <w:r w:rsidR="00566D83">
        <w:t>A general security holder</w:t>
      </w:r>
      <w:r w:rsidR="008C0899">
        <w:t xml:space="preserve"> (and any receiver they appoint) may enforce</w:t>
      </w:r>
      <w:r w:rsidR="008C0899">
        <w:rPr>
          <w:rStyle w:val="FootnoteReference"/>
        </w:rPr>
        <w:footnoteReference w:id="68"/>
      </w:r>
      <w:r w:rsidR="008C0899">
        <w:t xml:space="preserve"> their charge</w:t>
      </w:r>
      <w:r w:rsidR="00563B99">
        <w:t>(</w:t>
      </w:r>
      <w:r w:rsidR="008C0899">
        <w:t>s</w:t>
      </w:r>
      <w:r w:rsidR="00563B99">
        <w:t>)</w:t>
      </w:r>
      <w:r w:rsidR="008C0899">
        <w:t>.</w:t>
      </w:r>
      <w:r w:rsidR="008C0899">
        <w:rPr>
          <w:rStyle w:val="FootnoteReference"/>
        </w:rPr>
        <w:footnoteReference w:id="69"/>
      </w:r>
      <w:r w:rsidR="00E84DA7">
        <w:t xml:space="preserve"> The protections </w:t>
      </w:r>
      <w:r w:rsidR="00563B99">
        <w:t xml:space="preserve">in </w:t>
      </w:r>
      <w:proofErr w:type="spellStart"/>
      <w:r w:rsidR="00563B99">
        <w:t>pt</w:t>
      </w:r>
      <w:proofErr w:type="spellEnd"/>
      <w:r w:rsidR="00563B99">
        <w:t xml:space="preserve"> 5</w:t>
      </w:r>
      <w:r w:rsidR="00E84DA7">
        <w:t xml:space="preserve"> </w:t>
      </w:r>
      <w:r w:rsidR="00A034FA">
        <w:t xml:space="preserve">also </w:t>
      </w:r>
      <w:r w:rsidR="00E84DA7">
        <w:t xml:space="preserve">do not apply to </w:t>
      </w:r>
      <w:proofErr w:type="gramStart"/>
      <w:r w:rsidR="00E84DA7">
        <w:t>excluded</w:t>
      </w:r>
      <w:proofErr w:type="gramEnd"/>
      <w:r w:rsidR="00E84DA7">
        <w:t xml:space="preserve"> debts.</w:t>
      </w:r>
      <w:r w:rsidR="00E84DA7">
        <w:rPr>
          <w:rStyle w:val="FootnoteReference"/>
        </w:rPr>
        <w:footnoteReference w:id="70"/>
      </w:r>
    </w:p>
    <w:p w:rsidR="008C0899" w:rsidRDefault="00A034FA" w:rsidP="000A3597">
      <w:r>
        <w:t>T</w:t>
      </w:r>
      <w:r w:rsidR="00563B99">
        <w:t>he protections listed below apply</w:t>
      </w:r>
      <w:r>
        <w:t xml:space="preserve"> during the BDH protection period(s), and</w:t>
      </w:r>
      <w:r w:rsidR="008C0899">
        <w:t xml:space="preserve"> largely reflect those available </w:t>
      </w:r>
      <w:r>
        <w:t>to</w:t>
      </w:r>
      <w:r w:rsidR="008C0899">
        <w:t xml:space="preserve"> a company in </w:t>
      </w:r>
      <w:r w:rsidR="00566D83">
        <w:t xml:space="preserve">voluntary </w:t>
      </w:r>
      <w:r w:rsidR="008C0899">
        <w:t xml:space="preserve">administration. </w:t>
      </w:r>
    </w:p>
    <w:p w:rsidR="008C0899" w:rsidRDefault="002F1FD4" w:rsidP="008C0899">
      <w:pPr>
        <w:pStyle w:val="ListParagraph"/>
        <w:numPr>
          <w:ilvl w:val="0"/>
          <w:numId w:val="6"/>
        </w:numPr>
      </w:pPr>
      <w:r>
        <w:t xml:space="preserve">Subject to exceptions </w:t>
      </w:r>
      <w:r w:rsidR="00566D83">
        <w:t>for</w:t>
      </w:r>
      <w:r>
        <w:t xml:space="preserve"> charges over perishable property</w:t>
      </w:r>
      <w:r w:rsidR="00A93B0F">
        <w:t xml:space="preserve"> and </w:t>
      </w:r>
      <w:r w:rsidR="00566D83">
        <w:t>where the enforcement process under a charge</w:t>
      </w:r>
      <w:r w:rsidR="00A93B0F">
        <w:t xml:space="preserve"> has begun before an entity’s entry into BDH,</w:t>
      </w:r>
      <w:r w:rsidR="00A93B0F">
        <w:rPr>
          <w:rStyle w:val="FootnoteReference"/>
        </w:rPr>
        <w:footnoteReference w:id="71"/>
      </w:r>
      <w:r w:rsidR="00A93B0F">
        <w:t xml:space="preserve"> </w:t>
      </w:r>
      <w:r w:rsidR="008C0899">
        <w:t xml:space="preserve">charges over the entity’s property must not be enforced except with the permission of the High Court </w:t>
      </w:r>
      <w:r>
        <w:t xml:space="preserve">(the Court) </w:t>
      </w:r>
      <w:r w:rsidR="008C0899">
        <w:t>or in accordance with an arrangement approved by creditors.</w:t>
      </w:r>
      <w:r w:rsidR="008C0899">
        <w:rPr>
          <w:rStyle w:val="FootnoteReference"/>
        </w:rPr>
        <w:footnoteReference w:id="72"/>
      </w:r>
    </w:p>
    <w:p w:rsidR="008C0899" w:rsidRDefault="00A93B0F" w:rsidP="008C0899">
      <w:pPr>
        <w:pStyle w:val="ListParagraph"/>
        <w:numPr>
          <w:ilvl w:val="0"/>
          <w:numId w:val="6"/>
        </w:numPr>
      </w:pPr>
      <w:r>
        <w:t xml:space="preserve">Subject to specified exceptions </w:t>
      </w:r>
      <w:r w:rsidR="00566D83">
        <w:t>for</w:t>
      </w:r>
      <w:r>
        <w:t xml:space="preserve"> recovery of property begun before an entity’s entry into BDH and recovery of perishable property,</w:t>
      </w:r>
      <w:r>
        <w:rPr>
          <w:rStyle w:val="FootnoteReference"/>
        </w:rPr>
        <w:footnoteReference w:id="73"/>
      </w:r>
      <w:r>
        <w:t xml:space="preserve"> o</w:t>
      </w:r>
      <w:r w:rsidR="002F1FD4">
        <w:t>wners and lessors must not recover property used by the entity except with the entity’s written consent, the permission of the Court, or in accordance with an arrangement approved by creditors.</w:t>
      </w:r>
      <w:r w:rsidR="002F1FD4">
        <w:rPr>
          <w:rStyle w:val="FootnoteReference"/>
        </w:rPr>
        <w:footnoteReference w:id="74"/>
      </w:r>
    </w:p>
    <w:p w:rsidR="002F1FD4" w:rsidRDefault="002F1FD4" w:rsidP="008C0899">
      <w:pPr>
        <w:pStyle w:val="ListParagraph"/>
        <w:numPr>
          <w:ilvl w:val="0"/>
          <w:numId w:val="6"/>
        </w:numPr>
      </w:pPr>
      <w:r>
        <w:lastRenderedPageBreak/>
        <w:t>Proceedings must not be begun or commenced in connection with a debt or in relation to the entity’s property except with the entity’s written consent, the permission of the Court, or in accordance with an arrangement approved by creditors.</w:t>
      </w:r>
      <w:r>
        <w:rPr>
          <w:rStyle w:val="FootnoteReference"/>
        </w:rPr>
        <w:footnoteReference w:id="75"/>
      </w:r>
    </w:p>
    <w:p w:rsidR="002F1FD4" w:rsidRDefault="002F1FD4" w:rsidP="008C0899">
      <w:pPr>
        <w:pStyle w:val="ListParagraph"/>
        <w:numPr>
          <w:ilvl w:val="0"/>
          <w:numId w:val="6"/>
        </w:numPr>
      </w:pPr>
      <w:r>
        <w:t>An enforcement process in relation to the entity’s property must not be begun or continued except with the permission of the Court.</w:t>
      </w:r>
      <w:r>
        <w:rPr>
          <w:rStyle w:val="FootnoteReference"/>
        </w:rPr>
        <w:footnoteReference w:id="76"/>
      </w:r>
    </w:p>
    <w:p w:rsidR="006E6CCB" w:rsidRDefault="006E6CCB" w:rsidP="008C0899">
      <w:pPr>
        <w:pStyle w:val="ListParagraph"/>
        <w:numPr>
          <w:ilvl w:val="0"/>
          <w:numId w:val="6"/>
        </w:numPr>
      </w:pPr>
      <w:r>
        <w:t>Except with the Court’s permission, a guarantee of the liability of the entity must not be enforced against a director, shareholder or other member of the entity, or against their relative or spouse.</w:t>
      </w:r>
      <w:r>
        <w:rPr>
          <w:rStyle w:val="FootnoteReference"/>
        </w:rPr>
        <w:footnoteReference w:id="77"/>
      </w:r>
    </w:p>
    <w:p w:rsidR="00EE3653" w:rsidRPr="00EE3653" w:rsidRDefault="00EE3653" w:rsidP="0031617A">
      <w:r>
        <w:t xml:space="preserve">An entity may apply for a Court order </w:t>
      </w:r>
      <w:r w:rsidR="009659EF">
        <w:t>applicable during</w:t>
      </w:r>
      <w:r>
        <w:t xml:space="preserve"> the period beginning not earlier than the date on which the notice of the proposed arrangement was sent to creditors and ending not later than five working days</w:t>
      </w:r>
      <w:r w:rsidR="00A034FA">
        <w:t xml:space="preserve"> after the date </w:t>
      </w:r>
      <w:r>
        <w:t xml:space="preserve">on which notice was sent </w:t>
      </w:r>
      <w:proofErr w:type="spellStart"/>
      <w:r>
        <w:t>of</w:t>
      </w:r>
      <w:proofErr w:type="spellEnd"/>
      <w:r>
        <w:t xml:space="preserve"> the result of voting</w:t>
      </w:r>
      <w:r w:rsidR="009659EF">
        <w:t xml:space="preserve"> on it. The Court may order that </w:t>
      </w:r>
      <w:r>
        <w:t>proceedings in relation to a debt owing by the entity be stayed or that a creditor refrain from taking any other measure to enforce payment of a debt owed by the entity.</w:t>
      </w:r>
      <w:r>
        <w:rPr>
          <w:rStyle w:val="FootnoteReference"/>
        </w:rPr>
        <w:footnoteReference w:id="78"/>
      </w:r>
      <w:r>
        <w:t xml:space="preserve"> Such orders may not be made in relation to a debt owed by the entity to a general security holder, or any excluded debt.</w:t>
      </w:r>
      <w:r>
        <w:rPr>
          <w:rStyle w:val="FootnoteReference"/>
        </w:rPr>
        <w:footnoteReference w:id="79"/>
      </w:r>
    </w:p>
    <w:p w:rsidR="0031617A" w:rsidRDefault="0031617A" w:rsidP="0031617A">
      <w:pPr>
        <w:rPr>
          <w:i/>
        </w:rPr>
      </w:pPr>
      <w:r>
        <w:rPr>
          <w:i/>
        </w:rPr>
        <w:t>Exemption from operation of insolvent transaction and prejudicial disposition regimes</w:t>
      </w:r>
    </w:p>
    <w:p w:rsidR="0031617A" w:rsidRDefault="001978C1" w:rsidP="0031617A">
      <w:r>
        <w:t>A transaction</w:t>
      </w:r>
      <w:r w:rsidR="0031617A">
        <w:t xml:space="preserve"> entered into by an entity in BDH </w:t>
      </w:r>
      <w:r>
        <w:t>is</w:t>
      </w:r>
      <w:r w:rsidR="0031617A">
        <w:t xml:space="preserve"> exempt from the insolvent transaction rules in the </w:t>
      </w:r>
      <w:r w:rsidR="0031617A">
        <w:rPr>
          <w:i/>
        </w:rPr>
        <w:t xml:space="preserve">Companies Act </w:t>
      </w:r>
      <w:r>
        <w:t xml:space="preserve">and the prejudicial disposition rules in </w:t>
      </w:r>
      <w:proofErr w:type="spellStart"/>
      <w:r>
        <w:t>subpt</w:t>
      </w:r>
      <w:proofErr w:type="spellEnd"/>
      <w:r>
        <w:t xml:space="preserve"> 6 of </w:t>
      </w:r>
      <w:proofErr w:type="spellStart"/>
      <w:r>
        <w:t>pt</w:t>
      </w:r>
      <w:proofErr w:type="spellEnd"/>
      <w:r>
        <w:t xml:space="preserve"> 6 of the </w:t>
      </w:r>
      <w:r>
        <w:rPr>
          <w:i/>
        </w:rPr>
        <w:t xml:space="preserve">Property Law Act 2007 </w:t>
      </w:r>
      <w:r>
        <w:t>(NZ) if specified conditions are met.</w:t>
      </w:r>
      <w:r w:rsidRPr="001978C1">
        <w:rPr>
          <w:rStyle w:val="FootnoteReference"/>
        </w:rPr>
        <w:footnoteReference w:id="80"/>
      </w:r>
      <w:r>
        <w:t xml:space="preserve"> The first of the conditions is that either the transaction was entered into during the protection period,</w:t>
      </w:r>
      <w:r>
        <w:rPr>
          <w:rStyle w:val="FootnoteReference"/>
        </w:rPr>
        <w:footnoteReference w:id="81"/>
      </w:r>
      <w:r>
        <w:t xml:space="preserve"> or was specifically authorised by an arrangement approved by creditors.</w:t>
      </w:r>
      <w:r>
        <w:rPr>
          <w:rStyle w:val="FootnoteReference"/>
        </w:rPr>
        <w:footnoteReference w:id="82"/>
      </w:r>
      <w:r>
        <w:t xml:space="preserve"> The second is that the transaction is entered into by all parties in good faith, and on arm’s-length terms.</w:t>
      </w:r>
      <w:r>
        <w:rPr>
          <w:rStyle w:val="FootnoteReference"/>
        </w:rPr>
        <w:footnoteReference w:id="83"/>
      </w:r>
      <w:r>
        <w:t xml:space="preserve"> </w:t>
      </w:r>
    </w:p>
    <w:p w:rsidR="001978C1" w:rsidRDefault="001978C1" w:rsidP="0031617A">
      <w:pPr>
        <w:rPr>
          <w:i/>
        </w:rPr>
      </w:pPr>
      <w:r>
        <w:rPr>
          <w:i/>
        </w:rPr>
        <w:t>Arrangement approved by creditors</w:t>
      </w:r>
    </w:p>
    <w:p w:rsidR="000B33B8" w:rsidRDefault="00B82F3F" w:rsidP="0031617A">
      <w:r>
        <w:t>As noted above, an entity’s board must send notice to its creditors of the entity’s entry into BDH.</w:t>
      </w:r>
      <w:r>
        <w:rPr>
          <w:rStyle w:val="FootnoteReference"/>
        </w:rPr>
        <w:footnoteReference w:id="84"/>
      </w:r>
      <w:r>
        <w:t xml:space="preserve"> Upon entry into BDH, the entity has the protections described above, but these cease after </w:t>
      </w:r>
      <w:r w:rsidR="005C11A5">
        <w:t>one</w:t>
      </w:r>
      <w:r>
        <w:t xml:space="preserve"> month unless the entity’s creditors vote to approve an arrangement.</w:t>
      </w:r>
      <w:r>
        <w:rPr>
          <w:rStyle w:val="FootnoteReference"/>
        </w:rPr>
        <w:footnoteReference w:id="85"/>
      </w:r>
      <w:r>
        <w:t xml:space="preserve"> </w:t>
      </w:r>
      <w:r w:rsidR="000B33B8">
        <w:t xml:space="preserve">For the purposes of the BDH scheme, </w:t>
      </w:r>
      <w:r w:rsidR="00BD195E">
        <w:t>“</w:t>
      </w:r>
      <w:r w:rsidR="000B33B8">
        <w:t>creditor</w:t>
      </w:r>
      <w:r w:rsidR="00BD195E">
        <w:t>”</w:t>
      </w:r>
      <w:r w:rsidR="000B33B8">
        <w:t xml:space="preserve"> is defined to include a secured creditor</w:t>
      </w:r>
      <w:r w:rsidR="00FD3E0E">
        <w:rPr>
          <w:rStyle w:val="FootnoteReference"/>
        </w:rPr>
        <w:footnoteReference w:id="86"/>
      </w:r>
      <w:r w:rsidR="000B33B8">
        <w:t xml:space="preserve"> and a person who, in a liquidation under the </w:t>
      </w:r>
      <w:r w:rsidR="000B33B8" w:rsidRPr="005C11A5">
        <w:rPr>
          <w:i/>
        </w:rPr>
        <w:t>Companies Act</w:t>
      </w:r>
      <w:r w:rsidR="000B33B8">
        <w:t>, would be entitled to claim that a debt or liability is owing to them.</w:t>
      </w:r>
      <w:r w:rsidR="000B33B8">
        <w:rPr>
          <w:rStyle w:val="FootnoteReference"/>
        </w:rPr>
        <w:footnoteReference w:id="87"/>
      </w:r>
      <w:r w:rsidR="000B33B8">
        <w:t xml:space="preserve"> </w:t>
      </w:r>
      <w:r w:rsidR="000B33B8">
        <w:lastRenderedPageBreak/>
        <w:t xml:space="preserve">Excluded from the definition are persons who are owed or must be paid an excluded debt. The definition of “excluded debt” is broad </w:t>
      </w:r>
      <w:r w:rsidR="00BD195E">
        <w:t xml:space="preserve">and, in addition to any excluded debt </w:t>
      </w:r>
      <w:r w:rsidR="005C11A5">
        <w:t xml:space="preserve">later </w:t>
      </w:r>
      <w:r w:rsidR="00BD195E">
        <w:t xml:space="preserve">prescribed by regulation, </w:t>
      </w:r>
      <w:r w:rsidR="000B33B8">
        <w:t xml:space="preserve">includes a debt incurred after an entity enters BDH; salary wages or other amounts owed to an employee in connection with an employment relationship; </w:t>
      </w:r>
      <w:r w:rsidR="00BD195E">
        <w:t xml:space="preserve">and </w:t>
      </w:r>
      <w:r w:rsidR="000B33B8">
        <w:t xml:space="preserve">amounts that the entity must </w:t>
      </w:r>
      <w:r w:rsidR="00BD195E">
        <w:t>pay</w:t>
      </w:r>
      <w:r w:rsidR="000B33B8">
        <w:t xml:space="preserve"> to the Commissioner of Inland Revenue (</w:t>
      </w:r>
      <w:r w:rsidR="00BD195E">
        <w:t xml:space="preserve">including </w:t>
      </w:r>
      <w:r w:rsidR="000B33B8">
        <w:t xml:space="preserve">PAYE, </w:t>
      </w:r>
      <w:r w:rsidR="005C11A5">
        <w:t xml:space="preserve">child support payments, </w:t>
      </w:r>
      <w:r w:rsidR="000B33B8">
        <w:t xml:space="preserve">student loan repayments, </w:t>
      </w:r>
      <w:proofErr w:type="spellStart"/>
      <w:r w:rsidR="000B33B8">
        <w:t>kiwisaver</w:t>
      </w:r>
      <w:proofErr w:type="spellEnd"/>
      <w:r w:rsidR="000B33B8">
        <w:t xml:space="preserve"> contributions, and amounts payment under an instalment arrangement </w:t>
      </w:r>
      <w:r w:rsidR="00BD195E">
        <w:t xml:space="preserve">reached with the </w:t>
      </w:r>
      <w:r w:rsidR="00EE3653">
        <w:t>Commissioner</w:t>
      </w:r>
      <w:r w:rsidR="00BD195E">
        <w:t>).</w:t>
      </w:r>
      <w:r w:rsidR="00BD195E">
        <w:rPr>
          <w:rStyle w:val="FootnoteReference"/>
        </w:rPr>
        <w:footnoteReference w:id="88"/>
      </w:r>
    </w:p>
    <w:p w:rsidR="00357BEA" w:rsidRDefault="00B82F3F" w:rsidP="0031617A">
      <w:r>
        <w:t xml:space="preserve">Unlike voluntary administration, but akin to </w:t>
      </w:r>
      <w:r w:rsidR="009659EF">
        <w:t xml:space="preserve">the process </w:t>
      </w:r>
      <w:r>
        <w:t xml:space="preserve">where a company proposes a compromise with its creditors, it is the entity that prepares the </w:t>
      </w:r>
      <w:r w:rsidR="00BD195E">
        <w:t>proposed arrangement that creditors will vote on</w:t>
      </w:r>
      <w:r>
        <w:t xml:space="preserve">. </w:t>
      </w:r>
      <w:r w:rsidR="00357BEA">
        <w:t>A proposed arrangement may have the following effects:</w:t>
      </w:r>
      <w:r w:rsidR="00357BEA">
        <w:rPr>
          <w:rStyle w:val="FootnoteReference"/>
        </w:rPr>
        <w:footnoteReference w:id="89"/>
      </w:r>
    </w:p>
    <w:p w:rsidR="00357BEA" w:rsidRDefault="00357BEA" w:rsidP="00357BEA">
      <w:pPr>
        <w:pStyle w:val="ListParagraph"/>
        <w:numPr>
          <w:ilvl w:val="0"/>
          <w:numId w:val="7"/>
        </w:numPr>
      </w:pPr>
      <w:r>
        <w:t>reducing the amount of any payment to be made by the entity to a creditor during the protection period (without a consequential change being made to an annual interest rate):</w:t>
      </w:r>
    </w:p>
    <w:p w:rsidR="00357BEA" w:rsidRDefault="00357BEA" w:rsidP="00357BEA">
      <w:pPr>
        <w:pStyle w:val="ListParagraph"/>
        <w:numPr>
          <w:ilvl w:val="0"/>
          <w:numId w:val="7"/>
        </w:numPr>
      </w:pPr>
      <w:r>
        <w:t>postponing, during a protection period, the dates on which payments are to be made by the entity to a creditor (without a consequential change being made to the annual interest rate or annual interest rates):</w:t>
      </w:r>
    </w:p>
    <w:p w:rsidR="00357BEA" w:rsidRDefault="00357BEA" w:rsidP="00357BEA">
      <w:pPr>
        <w:pStyle w:val="ListParagraph"/>
        <w:numPr>
          <w:ilvl w:val="0"/>
          <w:numId w:val="7"/>
        </w:numPr>
      </w:pPr>
      <w:proofErr w:type="gramStart"/>
      <w:r>
        <w:t>preventing</w:t>
      </w:r>
      <w:proofErr w:type="gramEnd"/>
      <w:r>
        <w:t xml:space="preserve"> the exercise of any of the creditor’s powers, or restricting any of the creditor’s rights, to enforce payment of the due debt during the protection period.</w:t>
      </w:r>
    </w:p>
    <w:p w:rsidR="00357BEA" w:rsidRDefault="000B33B8" w:rsidP="00357BEA">
      <w:r>
        <w:t xml:space="preserve">Significant restructuring </w:t>
      </w:r>
      <w:r w:rsidR="00EE3653">
        <w:t>cannot be achieved</w:t>
      </w:r>
      <w:r w:rsidR="009659EF">
        <w:t xml:space="preserve"> as</w:t>
      </w:r>
      <w:r>
        <w:t xml:space="preserve"> </w:t>
      </w:r>
      <w:r w:rsidR="009659EF">
        <w:t>c</w:t>
      </w:r>
      <w:r w:rsidR="009C568F">
        <w:t>ancellation of all or part of a debt that is owing by the entity to a creditor is not permitted.</w:t>
      </w:r>
      <w:r w:rsidR="009C568F">
        <w:rPr>
          <w:rStyle w:val="FootnoteReference"/>
        </w:rPr>
        <w:footnoteReference w:id="90"/>
      </w:r>
      <w:r w:rsidR="009C568F">
        <w:t xml:space="preserve"> Other prohibited effects are varying the rights of a creditor or the terms of a debt,</w:t>
      </w:r>
      <w:r w:rsidR="009C568F">
        <w:rPr>
          <w:rStyle w:val="FootnoteReference"/>
        </w:rPr>
        <w:footnoteReference w:id="91"/>
      </w:r>
      <w:r w:rsidR="009C568F">
        <w:t xml:space="preserve"> and preventing the exercise of a creditor’s powers or restricting the exercise of any of a creditor’s rights after the end of the protection period.</w:t>
      </w:r>
      <w:r w:rsidR="009C568F">
        <w:rPr>
          <w:rStyle w:val="FootnoteReference"/>
        </w:rPr>
        <w:footnoteReference w:id="92"/>
      </w:r>
    </w:p>
    <w:p w:rsidR="005426DE" w:rsidRDefault="00B82F3F" w:rsidP="0031617A">
      <w:r>
        <w:t>The entity must send to each known creditor</w:t>
      </w:r>
      <w:r w:rsidR="00FD3E0E">
        <w:rPr>
          <w:rStyle w:val="FootnoteReference"/>
        </w:rPr>
        <w:footnoteReference w:id="93"/>
      </w:r>
      <w:r>
        <w:t xml:space="preserve"> a notice setting out prescribed information about the arrangement (and </w:t>
      </w:r>
      <w:r w:rsidR="009659EF">
        <w:t>this</w:t>
      </w:r>
      <w:r>
        <w:t xml:space="preserve"> largely mirrors the information that a company must provide to its creditors about a proposed compromise) and which requests that creditors vote on a resolution to approve the arrangement.</w:t>
      </w:r>
      <w:r>
        <w:rPr>
          <w:rStyle w:val="FootnoteReference"/>
        </w:rPr>
        <w:footnoteReference w:id="94"/>
      </w:r>
      <w:r>
        <w:t xml:space="preserve"> </w:t>
      </w:r>
      <w:r w:rsidR="001E276A">
        <w:t>The notice must be sent and received by creditors not less than five working days before the voting date.</w:t>
      </w:r>
      <w:r w:rsidR="001E276A">
        <w:rPr>
          <w:rStyle w:val="FootnoteReference"/>
        </w:rPr>
        <w:footnoteReference w:id="95"/>
      </w:r>
      <w:r w:rsidR="001E276A">
        <w:t xml:space="preserve"> The v</w:t>
      </w:r>
      <w:r w:rsidR="005C11A5">
        <w:t xml:space="preserve">oting date must be before the one </w:t>
      </w:r>
      <w:r w:rsidR="001E276A">
        <w:t>month expiry period that starts on the date on which the entity enters BDH.</w:t>
      </w:r>
      <w:r w:rsidR="001E276A">
        <w:rPr>
          <w:rStyle w:val="FootnoteReference"/>
        </w:rPr>
        <w:footnoteReference w:id="96"/>
      </w:r>
      <w:r w:rsidR="001E276A">
        <w:t xml:space="preserve"> </w:t>
      </w:r>
    </w:p>
    <w:p w:rsidR="001978C1" w:rsidRDefault="001E276A" w:rsidP="0031617A">
      <w:r>
        <w:t>Unlike approval of a compromise</w:t>
      </w:r>
      <w:r w:rsidR="00E84DA7">
        <w:t xml:space="preserve"> with creditors under the </w:t>
      </w:r>
      <w:r w:rsidR="00E84DA7">
        <w:rPr>
          <w:i/>
        </w:rPr>
        <w:t>Companies Act,</w:t>
      </w:r>
      <w:r>
        <w:t xml:space="preserve"> or </w:t>
      </w:r>
      <w:r w:rsidR="009659EF">
        <w:t>when</w:t>
      </w:r>
      <w:r>
        <w:t xml:space="preserve"> creditors</w:t>
      </w:r>
      <w:r w:rsidR="00E84DA7">
        <w:t xml:space="preserve"> </w:t>
      </w:r>
      <w:r w:rsidR="009659EF">
        <w:t xml:space="preserve">decide the fate of a company in voluntary administration, </w:t>
      </w:r>
      <w:r>
        <w:t xml:space="preserve">the holding of a creditors’ meeting </w:t>
      </w:r>
      <w:r w:rsidR="00E84DA7">
        <w:t xml:space="preserve">to approve an </w:t>
      </w:r>
      <w:r w:rsidR="00E84DA7">
        <w:lastRenderedPageBreak/>
        <w:t xml:space="preserve">arrangement is </w:t>
      </w:r>
      <w:r>
        <w:t>voluntary.</w:t>
      </w:r>
      <w:r>
        <w:rPr>
          <w:rStyle w:val="FootnoteReference"/>
        </w:rPr>
        <w:footnoteReference w:id="97"/>
      </w:r>
      <w:r>
        <w:t xml:space="preserve"> </w:t>
      </w:r>
      <w:r w:rsidR="00BD3BB2">
        <w:t xml:space="preserve">The notice given to creditors may </w:t>
      </w:r>
      <w:r w:rsidR="003E3056">
        <w:t>provide for alternative voting methods</w:t>
      </w:r>
      <w:r w:rsidR="00FD3E0E">
        <w:t xml:space="preserve"> (including electronic voting)</w:t>
      </w:r>
      <w:r w:rsidR="00FD3E0E">
        <w:rPr>
          <w:rStyle w:val="FootnoteReference"/>
        </w:rPr>
        <w:footnoteReference w:id="98"/>
      </w:r>
      <w:r w:rsidR="003E3056">
        <w:t xml:space="preserve"> such as, for example, that a creditor may email its vote to a particular email address before a particular time on a particular date.</w:t>
      </w:r>
      <w:r w:rsidR="003E3056">
        <w:rPr>
          <w:rStyle w:val="FootnoteReference"/>
        </w:rPr>
        <w:footnoteReference w:id="99"/>
      </w:r>
      <w:r w:rsidR="003E3056">
        <w:t xml:space="preserve"> </w:t>
      </w:r>
    </w:p>
    <w:p w:rsidR="005426DE" w:rsidRDefault="005426DE" w:rsidP="0031617A">
      <w:r>
        <w:t xml:space="preserve">An arrangement is approved if a majority </w:t>
      </w:r>
      <w:r w:rsidR="009659EF">
        <w:t>by</w:t>
      </w:r>
      <w:r>
        <w:t xml:space="preserve"> number and value of creditors </w:t>
      </w:r>
      <w:r w:rsidR="009659EF">
        <w:t>vote in favour of it</w:t>
      </w:r>
      <w:r>
        <w:rPr>
          <w:rStyle w:val="FootnoteReference"/>
        </w:rPr>
        <w:footnoteReference w:id="100"/>
      </w:r>
      <w:r w:rsidR="009659EF">
        <w:t xml:space="preserve"> and all other prescribed requirements are met.</w:t>
      </w:r>
      <w:r w:rsidR="009659EF">
        <w:rPr>
          <w:rStyle w:val="FootnoteReference"/>
        </w:rPr>
        <w:footnoteReference w:id="101"/>
      </w:r>
      <w:r>
        <w:t xml:space="preserve"> </w:t>
      </w:r>
      <w:r w:rsidR="009C568F">
        <w:t>In this calculation, and unless the Court orders otherwise, related creditor’s votes are disregarded.</w:t>
      </w:r>
      <w:r w:rsidR="009C568F">
        <w:rPr>
          <w:rStyle w:val="FootnoteReference"/>
        </w:rPr>
        <w:footnoteReference w:id="102"/>
      </w:r>
      <w:r w:rsidR="00E84DA7">
        <w:t xml:space="preserve"> </w:t>
      </w:r>
      <w:r w:rsidR="009C568F">
        <w:t xml:space="preserve"> </w:t>
      </w:r>
      <w:r w:rsidR="00EE3653">
        <w:t>The value attributed to creditors must not include any excluded debt.</w:t>
      </w:r>
      <w:r w:rsidR="00EE3653">
        <w:rPr>
          <w:rStyle w:val="FootnoteReference"/>
        </w:rPr>
        <w:footnoteReference w:id="103"/>
      </w:r>
      <w:r w:rsidR="00EE3653">
        <w:t xml:space="preserve"> </w:t>
      </w:r>
      <w:r>
        <w:t xml:space="preserve">The duty of receiving and counting votes falls on a person authorised </w:t>
      </w:r>
      <w:r w:rsidR="00357BEA">
        <w:t>by the entity,</w:t>
      </w:r>
      <w:r>
        <w:rPr>
          <w:rStyle w:val="FootnoteReference"/>
        </w:rPr>
        <w:footnoteReference w:id="104"/>
      </w:r>
      <w:r>
        <w:t xml:space="preserve"> </w:t>
      </w:r>
      <w:r w:rsidR="00357BEA">
        <w:t>who</w:t>
      </w:r>
      <w:r>
        <w:t xml:space="preserve"> must certify proper complet</w:t>
      </w:r>
      <w:r w:rsidR="00357BEA">
        <w:t>ion of this task and prepare a certificate of the result of the vote.</w:t>
      </w:r>
      <w:r w:rsidR="00357BEA">
        <w:rPr>
          <w:rStyle w:val="FootnoteReference"/>
        </w:rPr>
        <w:footnoteReference w:id="105"/>
      </w:r>
      <w:r w:rsidR="00357BEA">
        <w:t xml:space="preserve"> The board must notify the Registrar and creditors of the result of the vote.</w:t>
      </w:r>
      <w:r w:rsidR="00357BEA">
        <w:rPr>
          <w:rStyle w:val="FootnoteReference"/>
        </w:rPr>
        <w:footnoteReference w:id="106"/>
      </w:r>
    </w:p>
    <w:p w:rsidR="00EE3653" w:rsidRDefault="00EE3653" w:rsidP="0031617A">
      <w:r>
        <w:t xml:space="preserve">An arrangement approved by creditors is binding on the entity and all creditors </w:t>
      </w:r>
      <w:r w:rsidR="005C11A5">
        <w:t>who received notice of it</w:t>
      </w:r>
      <w:r>
        <w:t>.</w:t>
      </w:r>
      <w:r>
        <w:rPr>
          <w:rStyle w:val="FootnoteReference"/>
        </w:rPr>
        <w:footnoteReference w:id="107"/>
      </w:r>
    </w:p>
    <w:p w:rsidR="00943E2D" w:rsidRDefault="00943E2D" w:rsidP="0031617A">
      <w:r>
        <w:t>An arrangement, once approved, may be varied in accordance with the specified procedure.</w:t>
      </w:r>
      <w:r>
        <w:rPr>
          <w:rStyle w:val="FootnoteReference"/>
        </w:rPr>
        <w:footnoteReference w:id="108"/>
      </w:r>
    </w:p>
    <w:p w:rsidR="00943E2D" w:rsidRDefault="00943E2D" w:rsidP="0031617A">
      <w:r>
        <w:t>The entity may seek directions of the Court in relation to procedural requirements.</w:t>
      </w:r>
      <w:r w:rsidR="00C65C86">
        <w:rPr>
          <w:rStyle w:val="FootnoteReference"/>
        </w:rPr>
        <w:footnoteReference w:id="109"/>
      </w:r>
      <w:r w:rsidR="00C65C86">
        <w:t xml:space="preserve"> In a protection borrowed from compromises with creditors under the </w:t>
      </w:r>
      <w:r w:rsidR="00C65C86">
        <w:rPr>
          <w:i/>
        </w:rPr>
        <w:t xml:space="preserve">Companies Act, </w:t>
      </w:r>
      <w:r w:rsidR="00C65C86">
        <w:t>individual creditors may seek a Court order that they not be bound by an arrangement approved by creditors.</w:t>
      </w:r>
      <w:r w:rsidR="00C65C86">
        <w:rPr>
          <w:rStyle w:val="FootnoteReference"/>
        </w:rPr>
        <w:footnoteReference w:id="110"/>
      </w:r>
    </w:p>
    <w:p w:rsidR="00225523" w:rsidRDefault="00225523" w:rsidP="0031617A">
      <w:pPr>
        <w:rPr>
          <w:b/>
        </w:rPr>
      </w:pPr>
      <w:r>
        <w:rPr>
          <w:b/>
        </w:rPr>
        <w:t>Voidable Transactions</w:t>
      </w:r>
    </w:p>
    <w:p w:rsidR="00356855" w:rsidRDefault="00225523" w:rsidP="0031617A">
      <w:r>
        <w:t xml:space="preserve">The final </w:t>
      </w:r>
      <w:r w:rsidR="00D82832">
        <w:t xml:space="preserve">amendment </w:t>
      </w:r>
      <w:r>
        <w:t xml:space="preserve">to New Zealand’s insolvency framework made by the </w:t>
      </w:r>
      <w:r>
        <w:rPr>
          <w:i/>
        </w:rPr>
        <w:t xml:space="preserve">COVID-19 (Further Management Measures) Legislation Act 2020 </w:t>
      </w:r>
      <w:r>
        <w:t xml:space="preserve">is to the time limits within which liquidators (under the </w:t>
      </w:r>
      <w:r>
        <w:rPr>
          <w:i/>
        </w:rPr>
        <w:t xml:space="preserve">Companies Act 1993) </w:t>
      </w:r>
      <w:r>
        <w:t xml:space="preserve">and the Official Assignee (under the </w:t>
      </w:r>
      <w:r w:rsidRPr="006C7A7D">
        <w:rPr>
          <w:i/>
        </w:rPr>
        <w:t>Insolvency Act 2006</w:t>
      </w:r>
      <w:r>
        <w:t xml:space="preserve">) may act to set aside insolvent transactions and voidable charges entered into with non-related parties. The amendments apply to liquidations </w:t>
      </w:r>
      <w:r w:rsidR="00356855">
        <w:t>and</w:t>
      </w:r>
      <w:r>
        <w:t xml:space="preserve"> bankruptcies </w:t>
      </w:r>
      <w:r w:rsidR="006C7A7D">
        <w:t>commencing</w:t>
      </w:r>
      <w:r>
        <w:t xml:space="preserve"> on or after 15 May 2020.</w:t>
      </w:r>
      <w:r>
        <w:rPr>
          <w:rStyle w:val="FootnoteReference"/>
        </w:rPr>
        <w:footnoteReference w:id="111"/>
      </w:r>
      <w:r w:rsidR="00356855">
        <w:t xml:space="preserve"> They bring into force just one of a raft of changes</w:t>
      </w:r>
      <w:r w:rsidR="00D82832">
        <w:t xml:space="preserve"> to the voidable transaction rules that were</w:t>
      </w:r>
      <w:r w:rsidR="00356855">
        <w:t xml:space="preserve"> signalled late in 2019.</w:t>
      </w:r>
      <w:r w:rsidR="00356855">
        <w:rPr>
          <w:rStyle w:val="FootnoteReference"/>
        </w:rPr>
        <w:footnoteReference w:id="112"/>
      </w:r>
      <w:r w:rsidR="00356855">
        <w:t xml:space="preserve"> In summary, a liquidator or Official Assignee may now only set aside insolvent transactions and voidable charges entered into with non-related p</w:t>
      </w:r>
      <w:r w:rsidR="006C7A7D">
        <w:t>arties in the restricted period of</w:t>
      </w:r>
      <w:r w:rsidR="00356855">
        <w:t xml:space="preserve"> six month</w:t>
      </w:r>
      <w:r w:rsidR="006C7A7D">
        <w:t>s</w:t>
      </w:r>
      <w:r w:rsidR="00356855">
        <w:t xml:space="preserve"> prior to </w:t>
      </w:r>
      <w:r w:rsidR="00356855">
        <w:lastRenderedPageBreak/>
        <w:t>the commencement of a liquidation or bankruptcy.</w:t>
      </w:r>
      <w:r w:rsidR="00356855">
        <w:rPr>
          <w:rStyle w:val="FootnoteReference"/>
        </w:rPr>
        <w:footnoteReference w:id="113"/>
      </w:r>
      <w:r w:rsidR="00356855">
        <w:t xml:space="preserve"> A liquidator or the Official Assignee may act to set aside insolvent transactions and voidable charges entered </w:t>
      </w:r>
      <w:r w:rsidR="005747D4">
        <w:t xml:space="preserve">into </w:t>
      </w:r>
      <w:r w:rsidR="00356855">
        <w:t xml:space="preserve">with related parties in the </w:t>
      </w:r>
      <w:r w:rsidR="006C7A7D">
        <w:t>related party period of</w:t>
      </w:r>
      <w:r w:rsidR="005747D4">
        <w:t xml:space="preserve"> </w:t>
      </w:r>
      <w:r w:rsidR="006C7A7D">
        <w:t xml:space="preserve">two </w:t>
      </w:r>
      <w:r w:rsidR="00356855">
        <w:t>year</w:t>
      </w:r>
      <w:r w:rsidR="006C7A7D">
        <w:t>s</w:t>
      </w:r>
      <w:r w:rsidR="00356855">
        <w:t xml:space="preserve"> </w:t>
      </w:r>
      <w:r w:rsidR="005747D4">
        <w:t>prior to commencement of bankruptcy or liquidation.</w:t>
      </w:r>
      <w:r w:rsidR="005747D4">
        <w:rPr>
          <w:rStyle w:val="FootnoteReference"/>
        </w:rPr>
        <w:footnoteReference w:id="114"/>
      </w:r>
    </w:p>
    <w:p w:rsidR="00CB2195" w:rsidRDefault="00CB2195"/>
    <w:sectPr w:rsidR="00CB21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523" w:rsidRDefault="00225523" w:rsidP="00BA7848">
      <w:pPr>
        <w:spacing w:after="0" w:line="240" w:lineRule="auto"/>
      </w:pPr>
      <w:r>
        <w:separator/>
      </w:r>
    </w:p>
  </w:endnote>
  <w:endnote w:type="continuationSeparator" w:id="0">
    <w:p w:rsidR="00225523" w:rsidRDefault="00225523" w:rsidP="00BA7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523" w:rsidRDefault="00225523" w:rsidP="00BA7848">
      <w:pPr>
        <w:spacing w:after="0" w:line="240" w:lineRule="auto"/>
      </w:pPr>
      <w:r>
        <w:separator/>
      </w:r>
    </w:p>
  </w:footnote>
  <w:footnote w:type="continuationSeparator" w:id="0">
    <w:p w:rsidR="00225523" w:rsidRDefault="00225523" w:rsidP="00BA7848">
      <w:pPr>
        <w:spacing w:after="0" w:line="240" w:lineRule="auto"/>
      </w:pPr>
      <w:r>
        <w:continuationSeparator/>
      </w:r>
    </w:p>
  </w:footnote>
  <w:footnote w:id="1">
    <w:p w:rsidR="00B95BFB" w:rsidRPr="00AA1B0F" w:rsidRDefault="00B95BFB">
      <w:pPr>
        <w:pStyle w:val="FootnoteText"/>
      </w:pPr>
      <w:r w:rsidRPr="00AA1B0F">
        <w:rPr>
          <w:rStyle w:val="FootnoteReference"/>
        </w:rPr>
        <w:footnoteRef/>
      </w:r>
      <w:r w:rsidRPr="00AA1B0F">
        <w:t xml:space="preserve"> See </w:t>
      </w:r>
      <w:hyperlink r:id="rId1" w:history="1">
        <w:r w:rsidRPr="00AA1B0F">
          <w:rPr>
            <w:rStyle w:val="Hyperlink"/>
          </w:rPr>
          <w:t>www.covid19.govt.nz/</w:t>
        </w:r>
      </w:hyperlink>
      <w:r w:rsidRPr="00AA1B0F">
        <w:t>.</w:t>
      </w:r>
    </w:p>
  </w:footnote>
  <w:footnote w:id="2">
    <w:p w:rsidR="00225523" w:rsidRPr="00AA1B0F" w:rsidRDefault="00225523" w:rsidP="00E71478">
      <w:pPr>
        <w:pStyle w:val="FootnoteText"/>
      </w:pPr>
      <w:r w:rsidRPr="00AA1B0F">
        <w:rPr>
          <w:rStyle w:val="FootnoteReference"/>
        </w:rPr>
        <w:footnoteRef/>
      </w:r>
      <w:r w:rsidRPr="00AA1B0F">
        <w:t xml:space="preserve">The Treasury, </w:t>
      </w:r>
      <w:r w:rsidRPr="00AA1B0F">
        <w:rPr>
          <w:i/>
        </w:rPr>
        <w:t xml:space="preserve">Budget Economic and Fiscal Update 2020, </w:t>
      </w:r>
      <w:r w:rsidRPr="00AA1B0F">
        <w:t>New Zealand Government, 14 May 2020, at 3.</w:t>
      </w:r>
    </w:p>
  </w:footnote>
  <w:footnote w:id="3">
    <w:p w:rsidR="00225523" w:rsidRPr="00AA1B0F" w:rsidRDefault="00225523">
      <w:pPr>
        <w:pStyle w:val="FootnoteText"/>
      </w:pPr>
      <w:r w:rsidRPr="00AA1B0F">
        <w:rPr>
          <w:rStyle w:val="FootnoteReference"/>
        </w:rPr>
        <w:footnoteRef/>
      </w:r>
      <w:r w:rsidRPr="00AA1B0F">
        <w:t xml:space="preserve"> See “Wage Subsidy Scheme” at </w:t>
      </w:r>
      <w:hyperlink r:id="rId2" w:history="1">
        <w:r w:rsidRPr="00AA1B0F">
          <w:rPr>
            <w:rStyle w:val="Hyperlink"/>
          </w:rPr>
          <w:t>www.employment.govt.nz/leave-and-holidays/other-types-of leave/coronavirus-workplace/wage-subsidy/</w:t>
        </w:r>
      </w:hyperlink>
      <w:r w:rsidRPr="00AA1B0F">
        <w:t xml:space="preserve">. </w:t>
      </w:r>
    </w:p>
  </w:footnote>
  <w:footnote w:id="4">
    <w:p w:rsidR="00225523" w:rsidRPr="00AA1B0F" w:rsidRDefault="00225523">
      <w:pPr>
        <w:pStyle w:val="FootnoteText"/>
      </w:pPr>
      <w:r w:rsidRPr="00AA1B0F">
        <w:rPr>
          <w:rStyle w:val="FootnoteReference"/>
        </w:rPr>
        <w:footnoteRef/>
      </w:r>
      <w:r w:rsidRPr="00AA1B0F">
        <w:t xml:space="preserve"> “A million workers supported by Government wage subsidy” Press release by Minister of Finance, Hon Grant Robertson, and Minister of Social Development, Hon Carmel </w:t>
      </w:r>
      <w:proofErr w:type="spellStart"/>
      <w:r w:rsidRPr="00AA1B0F">
        <w:t>Sepuloni</w:t>
      </w:r>
      <w:proofErr w:type="spellEnd"/>
      <w:r w:rsidRPr="00AA1B0F">
        <w:t xml:space="preserve">, 7 April 2020, </w:t>
      </w:r>
      <w:hyperlink r:id="rId3" w:history="1">
        <w:r w:rsidRPr="00AA1B0F">
          <w:rPr>
            <w:rStyle w:val="Hyperlink"/>
          </w:rPr>
          <w:t>www.beehive</w:t>
        </w:r>
      </w:hyperlink>
      <w:r w:rsidRPr="00AA1B0F">
        <w:t>.govt.nz.</w:t>
      </w:r>
    </w:p>
  </w:footnote>
  <w:footnote w:id="5">
    <w:p w:rsidR="00225523" w:rsidRPr="00AA1B0F" w:rsidRDefault="00225523">
      <w:pPr>
        <w:pStyle w:val="FootnoteText"/>
      </w:pPr>
      <w:r w:rsidRPr="00AA1B0F">
        <w:rPr>
          <w:rStyle w:val="FootnoteReference"/>
        </w:rPr>
        <w:footnoteRef/>
      </w:r>
      <w:r w:rsidRPr="00AA1B0F">
        <w:t xml:space="preserve"> See “Business finance guarantee scheme” at </w:t>
      </w:r>
      <w:hyperlink r:id="rId4" w:history="1">
        <w:r w:rsidRPr="00AA1B0F">
          <w:rPr>
            <w:rStyle w:val="Hyperlink"/>
          </w:rPr>
          <w:t>www.business.govt.nz/covid-19/business-finance-guarantee-scheme</w:t>
        </w:r>
      </w:hyperlink>
      <w:r w:rsidRPr="00AA1B0F">
        <w:t xml:space="preserve">. </w:t>
      </w:r>
    </w:p>
  </w:footnote>
  <w:footnote w:id="6">
    <w:p w:rsidR="00BA2C76" w:rsidRDefault="00BA2C76">
      <w:pPr>
        <w:pStyle w:val="FootnoteText"/>
      </w:pPr>
      <w:r>
        <w:rPr>
          <w:rStyle w:val="FootnoteReference"/>
        </w:rPr>
        <w:footnoteRef/>
      </w:r>
      <w:r>
        <w:t xml:space="preserve"> See </w:t>
      </w:r>
      <w:hyperlink r:id="rId5" w:history="1">
        <w:r w:rsidRPr="00FB7366">
          <w:rPr>
            <w:rStyle w:val="Hyperlink"/>
          </w:rPr>
          <w:t>www.ird.govt.nz/covid-19/business-and-organisations/temporary-loss-carry-back-scheme</w:t>
        </w:r>
      </w:hyperlink>
      <w:r>
        <w:t xml:space="preserve">. </w:t>
      </w:r>
    </w:p>
  </w:footnote>
  <w:footnote w:id="7">
    <w:p w:rsidR="00225523" w:rsidRPr="00AA1B0F" w:rsidRDefault="00225523">
      <w:pPr>
        <w:pStyle w:val="FootnoteText"/>
      </w:pPr>
      <w:r w:rsidRPr="00AA1B0F">
        <w:rPr>
          <w:rStyle w:val="FootnoteReference"/>
        </w:rPr>
        <w:footnoteRef/>
      </w:r>
      <w:r w:rsidRPr="00AA1B0F">
        <w:t xml:space="preserve"> </w:t>
      </w:r>
      <w:r w:rsidR="009659EF" w:rsidRPr="00AA1B0F">
        <w:rPr>
          <w:i/>
        </w:rPr>
        <w:t xml:space="preserve">Property Law Act 2007 </w:t>
      </w:r>
      <w:r w:rsidR="009659EF" w:rsidRPr="00AA1B0F">
        <w:t>(NZ)</w:t>
      </w:r>
      <w:r w:rsidRPr="00AA1B0F">
        <w:t xml:space="preserve">, </w:t>
      </w:r>
      <w:proofErr w:type="spellStart"/>
      <w:r w:rsidR="009659EF" w:rsidRPr="00AA1B0F">
        <w:t>ss</w:t>
      </w:r>
      <w:proofErr w:type="spellEnd"/>
      <w:r w:rsidR="009659EF" w:rsidRPr="00AA1B0F">
        <w:t xml:space="preserve"> 120A-120E, 129A-129E, 245A-245E</w:t>
      </w:r>
      <w:r w:rsidRPr="00AA1B0F">
        <w:t>.</w:t>
      </w:r>
    </w:p>
  </w:footnote>
  <w:footnote w:id="8">
    <w:p w:rsidR="00225523" w:rsidRPr="00AA1B0F" w:rsidRDefault="00225523">
      <w:pPr>
        <w:pStyle w:val="FootnoteText"/>
      </w:pPr>
      <w:r w:rsidRPr="00AA1B0F">
        <w:rPr>
          <w:rStyle w:val="FootnoteReference"/>
        </w:rPr>
        <w:footnoteRef/>
      </w:r>
      <w:r w:rsidRPr="00AA1B0F">
        <w:t xml:space="preserve"> For a summary, see “Employment Indicators” at www. </w:t>
      </w:r>
      <w:hyperlink r:id="rId6" w:history="1">
        <w:r w:rsidRPr="00AA1B0F">
          <w:rPr>
            <w:rStyle w:val="Hyperlink"/>
          </w:rPr>
          <w:t>www.stats.govt.nz/information-releases/employment-indicators-april-2020</w:t>
        </w:r>
      </w:hyperlink>
      <w:r w:rsidRPr="00AA1B0F">
        <w:t>.</w:t>
      </w:r>
    </w:p>
  </w:footnote>
  <w:footnote w:id="9">
    <w:p w:rsidR="00225523" w:rsidRPr="00AA1B0F" w:rsidRDefault="00225523">
      <w:pPr>
        <w:pStyle w:val="FootnoteText"/>
      </w:pPr>
      <w:r w:rsidRPr="00AA1B0F">
        <w:rPr>
          <w:rStyle w:val="FootnoteReference"/>
        </w:rPr>
        <w:footnoteRef/>
      </w:r>
      <w:r w:rsidRPr="00AA1B0F">
        <w:t xml:space="preserve"> </w:t>
      </w:r>
      <w:r w:rsidR="009659EF" w:rsidRPr="00AA1B0F">
        <w:rPr>
          <w:i/>
        </w:rPr>
        <w:t>Companies Act 1993</w:t>
      </w:r>
      <w:r w:rsidR="009659EF" w:rsidRPr="00AA1B0F">
        <w:t xml:space="preserve"> (NZ)</w:t>
      </w:r>
      <w:r w:rsidRPr="00AA1B0F">
        <w:t xml:space="preserve">, </w:t>
      </w:r>
      <w:proofErr w:type="spellStart"/>
      <w:r w:rsidRPr="00AA1B0F">
        <w:t>sch</w:t>
      </w:r>
      <w:proofErr w:type="spellEnd"/>
      <w:r w:rsidRPr="00AA1B0F">
        <w:t xml:space="preserve"> 14, cl 1.</w:t>
      </w:r>
    </w:p>
  </w:footnote>
  <w:footnote w:id="10">
    <w:p w:rsidR="00225523" w:rsidRPr="00AA1B0F" w:rsidRDefault="00225523">
      <w:pPr>
        <w:pStyle w:val="FootnoteText"/>
      </w:pPr>
      <w:r w:rsidRPr="00AA1B0F">
        <w:rPr>
          <w:rStyle w:val="FootnoteReference"/>
        </w:rPr>
        <w:footnoteRef/>
      </w:r>
      <w:r w:rsidRPr="00AA1B0F">
        <w:t xml:space="preserve"> </w:t>
      </w:r>
      <w:r w:rsidR="00AA1B0F" w:rsidRPr="00AA1B0F">
        <w:rPr>
          <w:i/>
        </w:rPr>
        <w:t>Companies Act 1993</w:t>
      </w:r>
      <w:r w:rsidR="00AA1B0F" w:rsidRPr="00AA1B0F">
        <w:t xml:space="preserve"> (NZ), </w:t>
      </w:r>
      <w:proofErr w:type="spellStart"/>
      <w:r w:rsidR="00AA1B0F" w:rsidRPr="00AA1B0F">
        <w:t>sch</w:t>
      </w:r>
      <w:proofErr w:type="spellEnd"/>
      <w:r w:rsidR="00AA1B0F" w:rsidRPr="00AA1B0F">
        <w:t xml:space="preserve"> 12</w:t>
      </w:r>
      <w:r w:rsidRPr="00AA1B0F">
        <w:t>, cl 2.</w:t>
      </w:r>
    </w:p>
  </w:footnote>
  <w:footnote w:id="11">
    <w:p w:rsidR="00225523" w:rsidRPr="00AA1B0F" w:rsidRDefault="00225523">
      <w:pPr>
        <w:pStyle w:val="FootnoteText"/>
      </w:pPr>
      <w:r w:rsidRPr="00AA1B0F">
        <w:rPr>
          <w:rStyle w:val="FootnoteReference"/>
        </w:rPr>
        <w:footnoteRef/>
      </w:r>
      <w:r w:rsidRPr="00AA1B0F">
        <w:t xml:space="preserve"> This is a duplication of the cash-flow test of solvency in the statutory solvency test in s 4(1</w:t>
      </w:r>
      <w:proofErr w:type="gramStart"/>
      <w:r w:rsidRPr="00AA1B0F">
        <w:t>)(</w:t>
      </w:r>
      <w:proofErr w:type="gramEnd"/>
      <w:r w:rsidRPr="00AA1B0F">
        <w:t xml:space="preserve">a) of the </w:t>
      </w:r>
      <w:r w:rsidRPr="00AA1B0F">
        <w:rPr>
          <w:i/>
        </w:rPr>
        <w:t xml:space="preserve">Companies Act 1993 </w:t>
      </w:r>
      <w:r w:rsidRPr="00AA1B0F">
        <w:t xml:space="preserve">(NZ). </w:t>
      </w:r>
    </w:p>
  </w:footnote>
  <w:footnote w:id="12">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12, cl 4(1). Note, however, that certain companies are excluded from the operation of the safe harbour rules, including registered banks and non-bank deposit takers, and companies incorporated after 3 April 2020: </w:t>
      </w:r>
      <w:proofErr w:type="spellStart"/>
      <w:r w:rsidRPr="00AA1B0F">
        <w:t>sch</w:t>
      </w:r>
      <w:proofErr w:type="spellEnd"/>
      <w:r w:rsidRPr="00AA1B0F">
        <w:t xml:space="preserve"> 12, c 4(2).</w:t>
      </w:r>
    </w:p>
  </w:footnote>
  <w:footnote w:id="13">
    <w:p w:rsidR="00225523" w:rsidRPr="00AA1B0F" w:rsidRDefault="00225523" w:rsidP="00296593">
      <w:pPr>
        <w:pStyle w:val="FootnoteText"/>
      </w:pPr>
      <w:r w:rsidRPr="00AA1B0F">
        <w:rPr>
          <w:rStyle w:val="FootnoteReference"/>
        </w:rPr>
        <w:footnoteRef/>
      </w:r>
      <w:r w:rsidRPr="00AA1B0F">
        <w:t xml:space="preserve"> </w:t>
      </w:r>
      <w:r w:rsidRPr="00AA1B0F">
        <w:rPr>
          <w:i/>
        </w:rPr>
        <w:t>Companies Act 1993</w:t>
      </w:r>
      <w:r w:rsidR="00AA1B0F" w:rsidRPr="00AA1B0F">
        <w:t xml:space="preserve"> (NZ)</w:t>
      </w:r>
      <w:r w:rsidRPr="00AA1B0F">
        <w:t xml:space="preserve">, </w:t>
      </w:r>
      <w:proofErr w:type="spellStart"/>
      <w:r w:rsidRPr="00AA1B0F">
        <w:t>sch</w:t>
      </w:r>
      <w:proofErr w:type="spellEnd"/>
      <w:r w:rsidRPr="00AA1B0F">
        <w:t xml:space="preserve"> 12, cl 5(1</w:t>
      </w:r>
      <w:proofErr w:type="gramStart"/>
      <w:r w:rsidRPr="00AA1B0F">
        <w:t>)(</w:t>
      </w:r>
      <w:proofErr w:type="gramEnd"/>
      <w:r w:rsidRPr="00AA1B0F">
        <w:t xml:space="preserve">a), (2)(a). </w:t>
      </w:r>
    </w:p>
  </w:footnote>
  <w:footnote w:id="14">
    <w:p w:rsidR="00225523" w:rsidRPr="00AA1B0F" w:rsidRDefault="00225523" w:rsidP="00296593">
      <w:pPr>
        <w:pStyle w:val="FootnoteText"/>
      </w:pPr>
      <w:r w:rsidRPr="00AA1B0F">
        <w:rPr>
          <w:rStyle w:val="FootnoteReference"/>
        </w:rPr>
        <w:footnoteRef/>
      </w:r>
      <w:r w:rsidRPr="00AA1B0F">
        <w:t xml:space="preserve"> </w:t>
      </w:r>
      <w:r w:rsidRPr="00AA1B0F">
        <w:rPr>
          <w:i/>
        </w:rPr>
        <w:t>Companies Act 1993</w:t>
      </w:r>
      <w:r w:rsidR="00AA1B0F" w:rsidRPr="00AA1B0F">
        <w:t xml:space="preserve"> (NZ)</w:t>
      </w:r>
      <w:r w:rsidRPr="00AA1B0F">
        <w:t xml:space="preserve">, </w:t>
      </w:r>
      <w:proofErr w:type="spellStart"/>
      <w:r w:rsidRPr="00AA1B0F">
        <w:t>sch</w:t>
      </w:r>
      <w:proofErr w:type="spellEnd"/>
      <w:r w:rsidRPr="00AA1B0F">
        <w:t xml:space="preserve"> 12, cl 10(1</w:t>
      </w:r>
      <w:proofErr w:type="gramStart"/>
      <w:r w:rsidRPr="00AA1B0F">
        <w:t>)(</w:t>
      </w:r>
      <w:proofErr w:type="gramEnd"/>
      <w:r w:rsidRPr="00AA1B0F">
        <w:t>a).</w:t>
      </w:r>
    </w:p>
  </w:footnote>
  <w:footnote w:id="15">
    <w:p w:rsidR="00225523" w:rsidRPr="00AA1B0F" w:rsidRDefault="00225523" w:rsidP="00296593">
      <w:pPr>
        <w:pStyle w:val="FootnoteText"/>
      </w:pPr>
      <w:r w:rsidRPr="00AA1B0F">
        <w:rPr>
          <w:rStyle w:val="FootnoteReference"/>
        </w:rPr>
        <w:footnoteRef/>
      </w:r>
      <w:r w:rsidRPr="00AA1B0F">
        <w:t xml:space="preserve"> </w:t>
      </w:r>
      <w:r w:rsidRPr="00AA1B0F">
        <w:rPr>
          <w:i/>
        </w:rPr>
        <w:t>Companies Act 1993</w:t>
      </w:r>
      <w:r w:rsidR="00AA1B0F" w:rsidRPr="00AA1B0F">
        <w:t xml:space="preserve"> (NZ)</w:t>
      </w:r>
      <w:r w:rsidRPr="00AA1B0F">
        <w:t xml:space="preserve">, </w:t>
      </w:r>
      <w:proofErr w:type="spellStart"/>
      <w:r w:rsidRPr="00AA1B0F">
        <w:t>sch</w:t>
      </w:r>
      <w:proofErr w:type="spellEnd"/>
      <w:r w:rsidRPr="00AA1B0F">
        <w:t xml:space="preserve"> 12, cl 10(1</w:t>
      </w:r>
      <w:proofErr w:type="gramStart"/>
      <w:r w:rsidRPr="00AA1B0F">
        <w:t>)(</w:t>
      </w:r>
      <w:proofErr w:type="gramEnd"/>
      <w:r w:rsidRPr="00AA1B0F">
        <w:t>b).</w:t>
      </w:r>
    </w:p>
  </w:footnote>
  <w:footnote w:id="16">
    <w:p w:rsidR="00225523" w:rsidRPr="00AA1B0F" w:rsidRDefault="00225523" w:rsidP="00296593">
      <w:pPr>
        <w:pStyle w:val="FootnoteText"/>
      </w:pPr>
      <w:r w:rsidRPr="00AA1B0F">
        <w:rPr>
          <w:rStyle w:val="FootnoteReference"/>
        </w:rPr>
        <w:footnoteRef/>
      </w:r>
      <w:r w:rsidRPr="00AA1B0F">
        <w:t xml:space="preserve"> </w:t>
      </w:r>
      <w:r w:rsidRPr="00AA1B0F">
        <w:rPr>
          <w:i/>
        </w:rPr>
        <w:t>Companies Act 1993</w:t>
      </w:r>
      <w:r w:rsidR="00AA1B0F" w:rsidRPr="00AA1B0F">
        <w:t xml:space="preserve"> (NZ)</w:t>
      </w:r>
      <w:r w:rsidRPr="00AA1B0F">
        <w:t xml:space="preserve">, </w:t>
      </w:r>
      <w:proofErr w:type="spellStart"/>
      <w:r w:rsidRPr="00AA1B0F">
        <w:t>sch</w:t>
      </w:r>
      <w:proofErr w:type="spellEnd"/>
      <w:r w:rsidRPr="00AA1B0F">
        <w:t xml:space="preserve"> 12, cl 10(3).</w:t>
      </w:r>
    </w:p>
  </w:footnote>
  <w:footnote w:id="17">
    <w:p w:rsidR="00225523" w:rsidRPr="00AA1B0F" w:rsidRDefault="00225523" w:rsidP="00B64B1E">
      <w:pPr>
        <w:pStyle w:val="FootnoteText"/>
      </w:pPr>
      <w:r w:rsidRPr="00AA1B0F">
        <w:rPr>
          <w:rStyle w:val="FootnoteReference"/>
        </w:rPr>
        <w:footnoteRef/>
      </w:r>
      <w:r w:rsidRPr="00AA1B0F">
        <w:t xml:space="preserve"> </w:t>
      </w:r>
      <w:r w:rsidRPr="00AA1B0F">
        <w:rPr>
          <w:i/>
        </w:rPr>
        <w:t>Companies Act 1993</w:t>
      </w:r>
      <w:r w:rsidR="00AA1B0F" w:rsidRPr="00AA1B0F">
        <w:t xml:space="preserve"> (NZ)</w:t>
      </w:r>
      <w:r w:rsidRPr="00AA1B0F">
        <w:t xml:space="preserve">, s </w:t>
      </w:r>
      <w:proofErr w:type="gramStart"/>
      <w:r w:rsidRPr="00AA1B0F">
        <w:t>138B(</w:t>
      </w:r>
      <w:proofErr w:type="gramEnd"/>
      <w:r w:rsidRPr="00AA1B0F">
        <w:t>2).</w:t>
      </w:r>
    </w:p>
  </w:footnote>
  <w:footnote w:id="18">
    <w:p w:rsidR="00225523" w:rsidRPr="00AA1B0F" w:rsidRDefault="00225523">
      <w:pPr>
        <w:pStyle w:val="FootnoteText"/>
      </w:pPr>
      <w:r w:rsidRPr="00AA1B0F">
        <w:rPr>
          <w:rStyle w:val="FootnoteReference"/>
        </w:rPr>
        <w:footnoteRef/>
      </w:r>
      <w:r w:rsidRPr="00AA1B0F">
        <w:t xml:space="preserve"> </w:t>
      </w:r>
      <w:r w:rsidRPr="00AA1B0F">
        <w:rPr>
          <w:i/>
        </w:rPr>
        <w:t xml:space="preserve">Mason v Lewis </w:t>
      </w:r>
      <w:r w:rsidRPr="00AA1B0F">
        <w:t>[2006] 3 NZLR 225 (CA) at [51].</w:t>
      </w:r>
    </w:p>
  </w:footnote>
  <w:footnote w:id="19">
    <w:p w:rsidR="00225523" w:rsidRPr="00AA1B0F" w:rsidRDefault="00225523" w:rsidP="00822600">
      <w:pPr>
        <w:pStyle w:val="FootnoteText"/>
      </w:pPr>
      <w:r w:rsidRPr="00AA1B0F">
        <w:rPr>
          <w:rStyle w:val="FootnoteReference"/>
        </w:rPr>
        <w:footnoteRef/>
      </w:r>
      <w:r w:rsidRPr="00AA1B0F">
        <w:t xml:space="preserve"> Note, however, that this is a judicial innovation, as there is no statutory direction for the solvency test in s 4 of the </w:t>
      </w:r>
      <w:r w:rsidRPr="00AA1B0F">
        <w:rPr>
          <w:i/>
        </w:rPr>
        <w:t>Companies Act</w:t>
      </w:r>
      <w:r w:rsidRPr="00AA1B0F">
        <w:t xml:space="preserve"> to be used for this purpose. The statutory solvency test generally applies as a creditor protection mechanism when a company is making a distribution (defined in s 2) to its shareholders: see </w:t>
      </w:r>
      <w:r w:rsidRPr="00AA1B0F">
        <w:rPr>
          <w:i/>
        </w:rPr>
        <w:t xml:space="preserve">Companies Act 1993 </w:t>
      </w:r>
      <w:r w:rsidRPr="00AA1B0F">
        <w:t>(NZ)</w:t>
      </w:r>
      <w:r w:rsidRPr="00AA1B0F">
        <w:rPr>
          <w:i/>
        </w:rPr>
        <w:t xml:space="preserve">, </w:t>
      </w:r>
      <w:r w:rsidRPr="00AA1B0F">
        <w:t>s 52(1).</w:t>
      </w:r>
    </w:p>
  </w:footnote>
  <w:footnote w:id="20">
    <w:p w:rsidR="00225523" w:rsidRPr="00AA1B0F" w:rsidRDefault="00225523" w:rsidP="00714A6C">
      <w:pPr>
        <w:pStyle w:val="FootnoteText"/>
      </w:pPr>
      <w:r w:rsidRPr="00AA1B0F">
        <w:rPr>
          <w:rStyle w:val="FootnoteReference"/>
        </w:rPr>
        <w:footnoteRef/>
      </w:r>
      <w:r w:rsidRPr="00AA1B0F">
        <w:t xml:space="preserve"> Ibid.</w:t>
      </w:r>
    </w:p>
  </w:footnote>
  <w:footnote w:id="21">
    <w:p w:rsidR="00225523" w:rsidRPr="00AA1B0F" w:rsidRDefault="00225523">
      <w:pPr>
        <w:pStyle w:val="FootnoteText"/>
      </w:pPr>
      <w:r w:rsidRPr="00AA1B0F">
        <w:rPr>
          <w:rStyle w:val="FootnoteReference"/>
        </w:rPr>
        <w:footnoteRef/>
      </w:r>
      <w:r w:rsidRPr="00AA1B0F">
        <w:t xml:space="preserve"> Ibid at [49]-[50].</w:t>
      </w:r>
    </w:p>
  </w:footnote>
  <w:footnote w:id="22">
    <w:p w:rsidR="00225523" w:rsidRPr="00AA1B0F" w:rsidRDefault="00225523" w:rsidP="00E6399D">
      <w:pPr>
        <w:pStyle w:val="FootnoteText"/>
      </w:pPr>
      <w:r w:rsidRPr="00AA1B0F">
        <w:rPr>
          <w:rStyle w:val="FootnoteReference"/>
        </w:rPr>
        <w:footnoteRef/>
      </w:r>
      <w:r w:rsidRPr="00AA1B0F">
        <w:t xml:space="preserve"> </w:t>
      </w:r>
      <w:r w:rsidRPr="00AA1B0F">
        <w:rPr>
          <w:i/>
        </w:rPr>
        <w:t xml:space="preserve">Traveller v Lower </w:t>
      </w:r>
      <w:r w:rsidRPr="00AA1B0F">
        <w:t>(2004) 9 NZCLC 263,570 (HC) at [125].</w:t>
      </w:r>
    </w:p>
  </w:footnote>
  <w:footnote w:id="23">
    <w:p w:rsidR="00225523" w:rsidRPr="00AA1B0F" w:rsidRDefault="00225523">
      <w:pPr>
        <w:pStyle w:val="FootnoteText"/>
      </w:pPr>
      <w:r w:rsidRPr="00AA1B0F">
        <w:rPr>
          <w:rStyle w:val="FootnoteReference"/>
        </w:rPr>
        <w:footnoteRef/>
      </w:r>
      <w:r w:rsidRPr="00AA1B0F">
        <w:t xml:space="preserve"> Ibid.</w:t>
      </w:r>
    </w:p>
  </w:footnote>
  <w:footnote w:id="24">
    <w:p w:rsidR="00F67986" w:rsidRPr="00AA1B0F" w:rsidRDefault="00F67986" w:rsidP="00F67986">
      <w:pPr>
        <w:pStyle w:val="FootnoteText"/>
      </w:pPr>
      <w:r w:rsidRPr="00AA1B0F">
        <w:rPr>
          <w:rStyle w:val="FootnoteReference"/>
        </w:rPr>
        <w:footnoteRef/>
      </w:r>
      <w:r w:rsidRPr="00AA1B0F">
        <w:t xml:space="preserve"> </w:t>
      </w:r>
      <w:r w:rsidRPr="00AA1B0F">
        <w:rPr>
          <w:i/>
        </w:rPr>
        <w:t xml:space="preserve">Cooper v Debut Homes Ltd (in </w:t>
      </w:r>
      <w:proofErr w:type="spellStart"/>
      <w:r w:rsidRPr="00AA1B0F">
        <w:rPr>
          <w:i/>
        </w:rPr>
        <w:t>liq</w:t>
      </w:r>
      <w:proofErr w:type="spellEnd"/>
      <w:r w:rsidRPr="00AA1B0F">
        <w:rPr>
          <w:i/>
        </w:rPr>
        <w:t xml:space="preserve">) </w:t>
      </w:r>
      <w:r w:rsidRPr="00AA1B0F">
        <w:t>[2019] NZCA 39 at [32].</w:t>
      </w:r>
    </w:p>
  </w:footnote>
  <w:footnote w:id="25">
    <w:p w:rsidR="001108FA" w:rsidRDefault="001108FA">
      <w:pPr>
        <w:pStyle w:val="FootnoteText"/>
      </w:pPr>
      <w:r>
        <w:rPr>
          <w:rStyle w:val="FootnoteReference"/>
        </w:rPr>
        <w:footnoteRef/>
      </w:r>
      <w:r>
        <w:t xml:space="preserve"> Ibid.</w:t>
      </w:r>
    </w:p>
  </w:footnote>
  <w:footnote w:id="26">
    <w:p w:rsidR="00225523" w:rsidRPr="00AA1B0F" w:rsidRDefault="00225523">
      <w:pPr>
        <w:pStyle w:val="FootnoteText"/>
      </w:pPr>
      <w:r w:rsidRPr="00AA1B0F">
        <w:rPr>
          <w:rStyle w:val="FootnoteReference"/>
        </w:rPr>
        <w:footnoteRef/>
      </w:r>
      <w:r w:rsidRPr="00AA1B0F">
        <w:t xml:space="preserve"> </w:t>
      </w:r>
      <w:r w:rsidRPr="00AA1B0F">
        <w:rPr>
          <w:i/>
        </w:rPr>
        <w:t xml:space="preserve">Cooper v Debut Homes Ltd (in </w:t>
      </w:r>
      <w:proofErr w:type="spellStart"/>
      <w:r w:rsidRPr="00AA1B0F">
        <w:rPr>
          <w:i/>
        </w:rPr>
        <w:t>liq</w:t>
      </w:r>
      <w:proofErr w:type="spellEnd"/>
      <w:r w:rsidRPr="00AA1B0F">
        <w:rPr>
          <w:i/>
        </w:rPr>
        <w:t xml:space="preserve">) </w:t>
      </w:r>
      <w:r w:rsidRPr="00AA1B0F">
        <w:t>[2019] NZCA 39 at [33].</w:t>
      </w:r>
    </w:p>
  </w:footnote>
  <w:footnote w:id="27">
    <w:p w:rsidR="00225523" w:rsidRPr="00AA1B0F" w:rsidRDefault="00225523">
      <w:pPr>
        <w:pStyle w:val="FootnoteText"/>
      </w:pPr>
      <w:r w:rsidRPr="00AA1B0F">
        <w:rPr>
          <w:rStyle w:val="FootnoteReference"/>
        </w:rPr>
        <w:footnoteRef/>
      </w:r>
      <w:r w:rsidRPr="00AA1B0F">
        <w:t xml:space="preserve"> The new rules are in addition to the </w:t>
      </w:r>
      <w:r w:rsidR="00CC3551" w:rsidRPr="00AA1B0F">
        <w:t>reasonable reliance</w:t>
      </w:r>
      <w:r w:rsidRPr="00AA1B0F">
        <w:t xml:space="preserve"> defence in s 138 of the </w:t>
      </w:r>
      <w:r w:rsidRPr="00AA1B0F">
        <w:rPr>
          <w:i/>
        </w:rPr>
        <w:t xml:space="preserve">Companies Act 1993 </w:t>
      </w:r>
      <w:r w:rsidRPr="00AA1B0F">
        <w:t>(NZ).</w:t>
      </w:r>
    </w:p>
  </w:footnote>
  <w:footnote w:id="28">
    <w:p w:rsidR="00225523" w:rsidRPr="00AA1B0F" w:rsidRDefault="00225523">
      <w:pPr>
        <w:pStyle w:val="FootnoteText"/>
      </w:pPr>
      <w:r w:rsidRPr="00AA1B0F">
        <w:rPr>
          <w:rStyle w:val="FootnoteReference"/>
        </w:rPr>
        <w:footnoteRef/>
      </w:r>
      <w:r w:rsidRPr="00AA1B0F">
        <w:t xml:space="preserve"> Companies Act 1993</w:t>
      </w:r>
      <w:r w:rsidR="00AA1B0F" w:rsidRPr="00AA1B0F">
        <w:t xml:space="preserve"> (NZ)</w:t>
      </w:r>
      <w:r w:rsidRPr="00AA1B0F">
        <w:t xml:space="preserve">, </w:t>
      </w:r>
      <w:proofErr w:type="spellStart"/>
      <w:r w:rsidRPr="00AA1B0F">
        <w:t>sch</w:t>
      </w:r>
      <w:proofErr w:type="spellEnd"/>
      <w:r w:rsidRPr="00AA1B0F">
        <w:t xml:space="preserve"> 12, cl 6(1).</w:t>
      </w:r>
    </w:p>
  </w:footnote>
  <w:footnote w:id="29">
    <w:p w:rsidR="00225523" w:rsidRPr="00AA1B0F" w:rsidRDefault="00225523">
      <w:pPr>
        <w:pStyle w:val="FootnoteText"/>
      </w:pPr>
      <w:r w:rsidRPr="00AA1B0F">
        <w:rPr>
          <w:rStyle w:val="FootnoteReference"/>
        </w:rPr>
        <w:footnoteRef/>
      </w:r>
      <w:r w:rsidRPr="00AA1B0F">
        <w:t xml:space="preserve"> Companies Act 1993</w:t>
      </w:r>
      <w:r w:rsidR="00AA1B0F" w:rsidRPr="00AA1B0F">
        <w:t xml:space="preserve"> (NZ)</w:t>
      </w:r>
      <w:r w:rsidRPr="00AA1B0F">
        <w:t xml:space="preserve">, </w:t>
      </w:r>
      <w:proofErr w:type="spellStart"/>
      <w:r w:rsidRPr="00AA1B0F">
        <w:t>sch</w:t>
      </w:r>
      <w:proofErr w:type="spellEnd"/>
      <w:r w:rsidRPr="00AA1B0F">
        <w:t xml:space="preserve"> 12, cl 6(3).</w:t>
      </w:r>
    </w:p>
  </w:footnote>
  <w:footnote w:id="30">
    <w:p w:rsidR="00225523" w:rsidRPr="00AA1B0F" w:rsidRDefault="00225523">
      <w:pPr>
        <w:pStyle w:val="FootnoteText"/>
      </w:pPr>
      <w:r w:rsidRPr="00AA1B0F">
        <w:rPr>
          <w:rStyle w:val="FootnoteReference"/>
        </w:rPr>
        <w:footnoteRef/>
      </w:r>
      <w:r w:rsidRPr="00AA1B0F">
        <w:t xml:space="preserve"> These arrangements include the new COVID-19 business debt hibernation scheme in </w:t>
      </w:r>
      <w:proofErr w:type="spellStart"/>
      <w:r w:rsidRPr="00AA1B0F">
        <w:t>sch</w:t>
      </w:r>
      <w:proofErr w:type="spellEnd"/>
      <w:r w:rsidRPr="00AA1B0F">
        <w:t xml:space="preserve"> 13 of the </w:t>
      </w:r>
      <w:r w:rsidRPr="00AA1B0F">
        <w:rPr>
          <w:i/>
        </w:rPr>
        <w:t>Companies Act 1993</w:t>
      </w:r>
      <w:r w:rsidR="00AA1B0F" w:rsidRPr="00AA1B0F">
        <w:t xml:space="preserve"> (NZ)</w:t>
      </w:r>
      <w:r w:rsidRPr="00AA1B0F">
        <w:t xml:space="preserve"> and summarised below.</w:t>
      </w:r>
    </w:p>
  </w:footnote>
  <w:footnote w:id="31">
    <w:p w:rsidR="00225523" w:rsidRPr="00AA1B0F" w:rsidRDefault="00225523">
      <w:pPr>
        <w:pStyle w:val="FootnoteText"/>
      </w:pPr>
      <w:r w:rsidRPr="00AA1B0F">
        <w:rPr>
          <w:rStyle w:val="FootnoteReference"/>
        </w:rPr>
        <w:footnoteRef/>
      </w:r>
      <w:r w:rsidRPr="00AA1B0F">
        <w:t xml:space="preserve"> The safe harbour rules also apply to companies incorporated between1 January 2020 and 2 April 2020, but not to other specified types of companies: </w:t>
      </w:r>
      <w:r w:rsidRPr="00AA1B0F">
        <w:rPr>
          <w:i/>
        </w:rPr>
        <w:t>Companies Act 1993</w:t>
      </w:r>
      <w:r w:rsidRPr="00AA1B0F">
        <w:t xml:space="preserve"> (NZ), </w:t>
      </w:r>
      <w:proofErr w:type="spellStart"/>
      <w:r w:rsidRPr="00AA1B0F">
        <w:t>sch</w:t>
      </w:r>
      <w:proofErr w:type="spellEnd"/>
      <w:r w:rsidRPr="00AA1B0F">
        <w:t xml:space="preserve"> 12, cl 4(1),(2).</w:t>
      </w:r>
    </w:p>
  </w:footnote>
  <w:footnote w:id="32">
    <w:p w:rsidR="00225523" w:rsidRPr="00AA1B0F" w:rsidRDefault="00225523" w:rsidP="00566D83">
      <w:pPr>
        <w:pStyle w:val="FootnoteText"/>
      </w:pPr>
      <w:r w:rsidRPr="00AA1B0F">
        <w:rPr>
          <w:rStyle w:val="FootnoteReference"/>
        </w:rPr>
        <w:footnoteRef/>
      </w:r>
      <w:r w:rsidRPr="00AA1B0F">
        <w:t xml:space="preserve"> </w:t>
      </w:r>
      <w:r w:rsidRPr="00AA1B0F">
        <w:rPr>
          <w:i/>
        </w:rPr>
        <w:t>Companies Act 1993</w:t>
      </w:r>
      <w:r w:rsidR="00AA1B0F" w:rsidRPr="00AA1B0F">
        <w:rPr>
          <w:i/>
        </w:rPr>
        <w:t xml:space="preserve"> </w:t>
      </w:r>
      <w:r w:rsidR="00AA1B0F" w:rsidRPr="00AA1B0F">
        <w:t>(NZ)</w:t>
      </w:r>
      <w:r w:rsidRPr="00AA1B0F">
        <w:t xml:space="preserve">, </w:t>
      </w:r>
      <w:proofErr w:type="spellStart"/>
      <w:r w:rsidRPr="00AA1B0F">
        <w:t>sch</w:t>
      </w:r>
      <w:proofErr w:type="spellEnd"/>
      <w:r w:rsidRPr="00AA1B0F">
        <w:t xml:space="preserve"> 12, cl 8.</w:t>
      </w:r>
    </w:p>
  </w:footnote>
  <w:footnote w:id="33">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00AA1B0F" w:rsidRPr="00AA1B0F">
        <w:t xml:space="preserve"> (NZ)</w:t>
      </w:r>
      <w:r w:rsidRPr="00AA1B0F">
        <w:t>, s 138.</w:t>
      </w:r>
    </w:p>
  </w:footnote>
  <w:footnote w:id="34">
    <w:p w:rsidR="00225523" w:rsidRPr="00AA1B0F" w:rsidRDefault="00225523" w:rsidP="00130805">
      <w:pPr>
        <w:spacing w:after="0"/>
        <w:jc w:val="both"/>
        <w:rPr>
          <w:sz w:val="20"/>
          <w:szCs w:val="20"/>
        </w:rPr>
      </w:pPr>
      <w:r w:rsidRPr="00AA1B0F">
        <w:rPr>
          <w:rStyle w:val="FootnoteReference"/>
          <w:sz w:val="20"/>
          <w:szCs w:val="20"/>
        </w:rPr>
        <w:footnoteRef/>
      </w:r>
      <w:r w:rsidRPr="00AA1B0F">
        <w:rPr>
          <w:sz w:val="20"/>
          <w:szCs w:val="20"/>
        </w:rPr>
        <w:t xml:space="preserve"> See, for example, </w:t>
      </w:r>
      <w:proofErr w:type="spellStart"/>
      <w:r w:rsidRPr="00AA1B0F">
        <w:rPr>
          <w:i/>
          <w:sz w:val="20"/>
          <w:szCs w:val="20"/>
        </w:rPr>
        <w:t>Mainzeal</w:t>
      </w:r>
      <w:proofErr w:type="spellEnd"/>
      <w:r w:rsidRPr="00AA1B0F">
        <w:rPr>
          <w:i/>
          <w:sz w:val="20"/>
          <w:szCs w:val="20"/>
        </w:rPr>
        <w:t xml:space="preserve"> Property &amp; Construction Ltd (in </w:t>
      </w:r>
      <w:proofErr w:type="spellStart"/>
      <w:r w:rsidRPr="00AA1B0F">
        <w:rPr>
          <w:i/>
          <w:sz w:val="20"/>
          <w:szCs w:val="20"/>
        </w:rPr>
        <w:t>liq</w:t>
      </w:r>
      <w:proofErr w:type="spellEnd"/>
      <w:r w:rsidRPr="00AA1B0F">
        <w:rPr>
          <w:i/>
          <w:sz w:val="20"/>
          <w:szCs w:val="20"/>
        </w:rPr>
        <w:t xml:space="preserve">) v Yan </w:t>
      </w:r>
      <w:r w:rsidRPr="00AA1B0F">
        <w:rPr>
          <w:sz w:val="20"/>
          <w:szCs w:val="20"/>
        </w:rPr>
        <w:t>[2019] NZHC 255 (HC).</w:t>
      </w:r>
    </w:p>
  </w:footnote>
  <w:footnote w:id="35">
    <w:p w:rsidR="00225523" w:rsidRPr="00AA1B0F" w:rsidRDefault="00225523" w:rsidP="00130805">
      <w:pPr>
        <w:pStyle w:val="FootnoteText"/>
      </w:pPr>
      <w:r w:rsidRPr="00AA1B0F">
        <w:rPr>
          <w:rStyle w:val="FootnoteReference"/>
        </w:rPr>
        <w:footnoteRef/>
      </w:r>
      <w:r w:rsidRPr="00AA1B0F">
        <w:t xml:space="preserve"> </w:t>
      </w:r>
      <w:r w:rsidRPr="00AA1B0F">
        <w:rPr>
          <w:i/>
        </w:rPr>
        <w:t>Companies Act 1993</w:t>
      </w:r>
      <w:r w:rsidRPr="00AA1B0F">
        <w:t xml:space="preserve"> (NZ), s 131(1); </w:t>
      </w:r>
      <w:r w:rsidRPr="00AA1B0F">
        <w:rPr>
          <w:i/>
        </w:rPr>
        <w:t xml:space="preserve">Sojourner v Robb </w:t>
      </w:r>
      <w:r w:rsidRPr="00AA1B0F">
        <w:t xml:space="preserve">[2007] NZCA 493, [2008] 1 NZLR 751 at [25]; </w:t>
      </w:r>
      <w:r w:rsidRPr="00AA1B0F">
        <w:rPr>
          <w:i/>
        </w:rPr>
        <w:t xml:space="preserve">Cooper v Debut Homes Ltd (in </w:t>
      </w:r>
      <w:proofErr w:type="spellStart"/>
      <w:r w:rsidRPr="00AA1B0F">
        <w:rPr>
          <w:i/>
        </w:rPr>
        <w:t>liq</w:t>
      </w:r>
      <w:proofErr w:type="spellEnd"/>
      <w:r w:rsidRPr="00AA1B0F">
        <w:rPr>
          <w:i/>
        </w:rPr>
        <w:t xml:space="preserve">) </w:t>
      </w:r>
      <w:r w:rsidRPr="00AA1B0F">
        <w:t>[2019] NZCA 39 at [26].</w:t>
      </w:r>
    </w:p>
  </w:footnote>
  <w:footnote w:id="36">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s 137.</w:t>
      </w:r>
    </w:p>
  </w:footnote>
  <w:footnote w:id="37">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s 301.</w:t>
      </w:r>
    </w:p>
  </w:footnote>
  <w:footnote w:id="38">
    <w:p w:rsidR="00225523" w:rsidRPr="00AA1B0F" w:rsidRDefault="00225523">
      <w:pPr>
        <w:pStyle w:val="FootnoteText"/>
      </w:pPr>
      <w:r w:rsidRPr="00AA1B0F">
        <w:rPr>
          <w:rStyle w:val="FootnoteReference"/>
        </w:rPr>
        <w:footnoteRef/>
      </w:r>
      <w:r w:rsidRPr="00AA1B0F">
        <w:t xml:space="preserve"> </w:t>
      </w:r>
      <w:proofErr w:type="spellStart"/>
      <w:r w:rsidRPr="00AA1B0F">
        <w:rPr>
          <w:i/>
        </w:rPr>
        <w:t>Goatlands</w:t>
      </w:r>
      <w:proofErr w:type="spellEnd"/>
      <w:r w:rsidRPr="00AA1B0F">
        <w:rPr>
          <w:i/>
        </w:rPr>
        <w:t xml:space="preserve"> Ltd (in </w:t>
      </w:r>
      <w:proofErr w:type="spellStart"/>
      <w:r w:rsidRPr="00AA1B0F">
        <w:rPr>
          <w:i/>
        </w:rPr>
        <w:t>liq</w:t>
      </w:r>
      <w:proofErr w:type="spellEnd"/>
      <w:r w:rsidRPr="00AA1B0F">
        <w:rPr>
          <w:i/>
        </w:rPr>
        <w:t xml:space="preserve">) v </w:t>
      </w:r>
      <w:proofErr w:type="spellStart"/>
      <w:r w:rsidRPr="00AA1B0F">
        <w:rPr>
          <w:i/>
        </w:rPr>
        <w:t>Borrell</w:t>
      </w:r>
      <w:proofErr w:type="spellEnd"/>
      <w:r w:rsidRPr="00AA1B0F">
        <w:rPr>
          <w:i/>
        </w:rPr>
        <w:t xml:space="preserve"> </w:t>
      </w:r>
      <w:r w:rsidRPr="00AA1B0F">
        <w:t xml:space="preserve">(2007) 23 NZTC 21,107 </w:t>
      </w:r>
      <w:r w:rsidRPr="00AA1B0F">
        <w:rPr>
          <w:shd w:val="clear" w:color="auto" w:fill="FFFFFF"/>
        </w:rPr>
        <w:t>at [114].</w:t>
      </w:r>
    </w:p>
  </w:footnote>
  <w:footnote w:id="39">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12, cl 7(3).</w:t>
      </w:r>
    </w:p>
  </w:footnote>
  <w:footnote w:id="40">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12, cl 7(1).</w:t>
      </w:r>
    </w:p>
  </w:footnote>
  <w:footnote w:id="41">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12 cl 7(1).</w:t>
      </w:r>
    </w:p>
  </w:footnote>
  <w:footnote w:id="42">
    <w:p w:rsidR="00225523" w:rsidRPr="00AA1B0F" w:rsidRDefault="00225523" w:rsidP="000A3597">
      <w:pPr>
        <w:pStyle w:val="FootnoteText"/>
      </w:pPr>
      <w:r w:rsidRPr="00AA1B0F">
        <w:rPr>
          <w:rStyle w:val="FootnoteReference"/>
        </w:rPr>
        <w:footnoteRef/>
      </w:r>
      <w:r w:rsidRPr="00AA1B0F">
        <w:t xml:space="preserve"> </w:t>
      </w:r>
      <w:r w:rsidRPr="00AA1B0F">
        <w:rPr>
          <w:i/>
        </w:rPr>
        <w:t>Companies Act 1993</w:t>
      </w:r>
      <w:r w:rsidRPr="00AA1B0F">
        <w:t xml:space="preserve">, </w:t>
      </w:r>
      <w:proofErr w:type="spellStart"/>
      <w:r w:rsidRPr="00AA1B0F">
        <w:t>sch</w:t>
      </w:r>
      <w:proofErr w:type="spellEnd"/>
      <w:r w:rsidRPr="00AA1B0F">
        <w:t xml:space="preserve"> 12, cl 6(3).</w:t>
      </w:r>
    </w:p>
  </w:footnote>
  <w:footnote w:id="43">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s 395A.</w:t>
      </w:r>
    </w:p>
  </w:footnote>
  <w:footnote w:id="44">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Pt 15A.</w:t>
      </w:r>
    </w:p>
  </w:footnote>
  <w:footnote w:id="45">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Pt 14.</w:t>
      </w:r>
    </w:p>
  </w:footnote>
  <w:footnote w:id="46">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13, </w:t>
      </w:r>
      <w:proofErr w:type="spellStart"/>
      <w:r w:rsidRPr="00AA1B0F">
        <w:t>cls</w:t>
      </w:r>
      <w:proofErr w:type="spellEnd"/>
      <w:r w:rsidRPr="00AA1B0F">
        <w:t xml:space="preserve"> 3(2), 5(5).</w:t>
      </w:r>
    </w:p>
  </w:footnote>
  <w:footnote w:id="47">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13, </w:t>
      </w:r>
      <w:proofErr w:type="spellStart"/>
      <w:r w:rsidRPr="00AA1B0F">
        <w:t>cls</w:t>
      </w:r>
      <w:proofErr w:type="spellEnd"/>
      <w:r w:rsidRPr="00AA1B0F">
        <w:t xml:space="preserve"> 3(1), 4(1).</w:t>
      </w:r>
    </w:p>
  </w:footnote>
  <w:footnote w:id="48">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13, cl 3(3).</w:t>
      </w:r>
    </w:p>
  </w:footnote>
  <w:footnote w:id="49">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13, cl 3(4).</w:t>
      </w:r>
    </w:p>
  </w:footnote>
  <w:footnote w:id="50">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13, cl 1(a)</w:t>
      </w:r>
      <w:proofErr w:type="gramStart"/>
      <w:r w:rsidRPr="00AA1B0F">
        <w:t>,(</w:t>
      </w:r>
      <w:proofErr w:type="gramEnd"/>
      <w:r w:rsidRPr="00AA1B0F">
        <w:t>b).</w:t>
      </w:r>
    </w:p>
  </w:footnote>
  <w:footnote w:id="51">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13, cl 1(2).</w:t>
      </w:r>
    </w:p>
  </w:footnote>
  <w:footnote w:id="52">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13, cl 1(3</w:t>
      </w:r>
      <w:proofErr w:type="gramStart"/>
      <w:r w:rsidRPr="00AA1B0F">
        <w:t>)(</w:t>
      </w:r>
      <w:proofErr w:type="gramEnd"/>
      <w:r w:rsidRPr="00AA1B0F">
        <w:t>b), (c).</w:t>
      </w:r>
    </w:p>
  </w:footnote>
  <w:footnote w:id="53">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13, cl 1(3</w:t>
      </w:r>
      <w:proofErr w:type="gramStart"/>
      <w:r w:rsidRPr="00AA1B0F">
        <w:t>)(</w:t>
      </w:r>
      <w:proofErr w:type="gramEnd"/>
      <w:r w:rsidRPr="00AA1B0F">
        <w:t>a).</w:t>
      </w:r>
    </w:p>
  </w:footnote>
  <w:footnote w:id="54">
    <w:p w:rsidR="00225523" w:rsidRPr="00AA1B0F" w:rsidRDefault="00225523">
      <w:pPr>
        <w:pStyle w:val="FootnoteText"/>
      </w:pPr>
      <w:r w:rsidRPr="00AA1B0F">
        <w:rPr>
          <w:rStyle w:val="FootnoteReference"/>
        </w:rPr>
        <w:footnoteRef/>
      </w:r>
      <w:r w:rsidRPr="00AA1B0F">
        <w:t xml:space="preserve"> See </w:t>
      </w:r>
      <w:hyperlink r:id="rId7" w:history="1">
        <w:r w:rsidRPr="00AA1B0F">
          <w:rPr>
            <w:rStyle w:val="Hyperlink"/>
          </w:rPr>
          <w:t>www.business.govt.nz/covid-19/business-debt-hibernation/</w:t>
        </w:r>
      </w:hyperlink>
      <w:r w:rsidRPr="00AA1B0F">
        <w:t>.</w:t>
      </w:r>
    </w:p>
  </w:footnote>
  <w:footnote w:id="55">
    <w:p w:rsidR="00225523" w:rsidRPr="00AA1B0F" w:rsidRDefault="00225523" w:rsidP="00397022">
      <w:pPr>
        <w:pStyle w:val="FootnoteText"/>
      </w:pPr>
      <w:r w:rsidRPr="00AA1B0F">
        <w:rPr>
          <w:rStyle w:val="FootnoteReference"/>
        </w:rPr>
        <w:footnoteRef/>
      </w:r>
      <w:r w:rsidRPr="00AA1B0F">
        <w:t xml:space="preserve"> “Board” is defined to include the board of a company, the general partners of a limited partnership, the partners of a partnership, and the committee or other governing body of a body corporate or unincorporated association: </w:t>
      </w:r>
      <w:r w:rsidRPr="00AA1B0F">
        <w:rPr>
          <w:i/>
        </w:rPr>
        <w:t>Companies Act 1993</w:t>
      </w:r>
      <w:r w:rsidR="00AA1B0F">
        <w:t xml:space="preserve"> (NZ)</w:t>
      </w:r>
      <w:r w:rsidRPr="00AA1B0F">
        <w:t xml:space="preserve">, </w:t>
      </w:r>
      <w:proofErr w:type="spellStart"/>
      <w:r w:rsidRPr="00AA1B0F">
        <w:t>sch</w:t>
      </w:r>
      <w:proofErr w:type="spellEnd"/>
      <w:r w:rsidRPr="00AA1B0F">
        <w:t xml:space="preserve"> 13, cl 4(1).</w:t>
      </w:r>
    </w:p>
  </w:footnote>
  <w:footnote w:id="56">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00AA1B0F">
        <w:t xml:space="preserve"> (NZ)</w:t>
      </w:r>
      <w:r w:rsidRPr="00AA1B0F">
        <w:t xml:space="preserve">, </w:t>
      </w:r>
      <w:proofErr w:type="spellStart"/>
      <w:r w:rsidRPr="00AA1B0F">
        <w:t>sch</w:t>
      </w:r>
      <w:proofErr w:type="spellEnd"/>
      <w:r w:rsidRPr="00AA1B0F">
        <w:t xml:space="preserve"> 13, cl 5(1</w:t>
      </w:r>
      <w:proofErr w:type="gramStart"/>
      <w:r w:rsidRPr="00AA1B0F">
        <w:t>)(</w:t>
      </w:r>
      <w:proofErr w:type="gramEnd"/>
      <w:r w:rsidRPr="00AA1B0F">
        <w:t>a)-(c).</w:t>
      </w:r>
    </w:p>
  </w:footnote>
  <w:footnote w:id="57">
    <w:p w:rsidR="00225523" w:rsidRPr="00AA1B0F" w:rsidRDefault="00225523">
      <w:pPr>
        <w:pStyle w:val="FootnoteText"/>
      </w:pPr>
      <w:r w:rsidRPr="00AA1B0F">
        <w:rPr>
          <w:rStyle w:val="FootnoteReference"/>
        </w:rPr>
        <w:footnoteRef/>
      </w:r>
      <w:r w:rsidRPr="00AA1B0F">
        <w:t xml:space="preserve"> See the definition in Companies Act 1993, </w:t>
      </w:r>
      <w:proofErr w:type="spellStart"/>
      <w:r w:rsidRPr="00AA1B0F">
        <w:t>sch</w:t>
      </w:r>
      <w:proofErr w:type="spellEnd"/>
      <w:r w:rsidRPr="00AA1B0F">
        <w:t xml:space="preserve"> 13, cl 4(1).</w:t>
      </w:r>
    </w:p>
  </w:footnote>
  <w:footnote w:id="58">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13, cl 5(2).</w:t>
      </w:r>
    </w:p>
  </w:footnote>
  <w:footnote w:id="59">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13, cl 5(3), (4).</w:t>
      </w:r>
    </w:p>
  </w:footnote>
  <w:footnote w:id="60">
    <w:p w:rsidR="00225523" w:rsidRPr="00AA1B0F" w:rsidRDefault="00225523">
      <w:pPr>
        <w:pStyle w:val="FootnoteText"/>
      </w:pPr>
      <w:r w:rsidRPr="00AA1B0F">
        <w:rPr>
          <w:rStyle w:val="FootnoteReference"/>
        </w:rPr>
        <w:footnoteRef/>
      </w:r>
      <w:r w:rsidRPr="00AA1B0F">
        <w:t xml:space="preserve"> </w:t>
      </w:r>
      <w:r w:rsidRPr="00AA1B0F">
        <w:rPr>
          <w:i/>
        </w:rPr>
        <w:t>Companies A</w:t>
      </w:r>
      <w:r w:rsidR="00563B99" w:rsidRPr="00AA1B0F">
        <w:rPr>
          <w:i/>
        </w:rPr>
        <w:t>ct 1993</w:t>
      </w:r>
      <w:r w:rsidR="00563B99" w:rsidRPr="00AA1B0F">
        <w:t xml:space="preserve">, (NZ), </w:t>
      </w:r>
      <w:proofErr w:type="spellStart"/>
      <w:r w:rsidR="00563B99" w:rsidRPr="00AA1B0F">
        <w:t>sch</w:t>
      </w:r>
      <w:proofErr w:type="spellEnd"/>
      <w:r w:rsidR="00563B99" w:rsidRPr="00AA1B0F">
        <w:t xml:space="preserve"> 13, </w:t>
      </w:r>
      <w:proofErr w:type="gramStart"/>
      <w:r w:rsidR="00563B99" w:rsidRPr="00AA1B0F">
        <w:t xml:space="preserve">cl 6(1), </w:t>
      </w:r>
      <w:r w:rsidRPr="00AA1B0F">
        <w:t>(2)</w:t>
      </w:r>
      <w:proofErr w:type="gramEnd"/>
      <w:r w:rsidRPr="00AA1B0F">
        <w:t>.</w:t>
      </w:r>
    </w:p>
  </w:footnote>
  <w:footnote w:id="61">
    <w:p w:rsidR="00563B99" w:rsidRPr="00AA1B0F" w:rsidRDefault="00563B99">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13, cl 7(1).</w:t>
      </w:r>
    </w:p>
  </w:footnote>
  <w:footnote w:id="62">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13, cl 7(2).</w:t>
      </w:r>
    </w:p>
  </w:footnote>
  <w:footnote w:id="63">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13, cl 14.</w:t>
      </w:r>
    </w:p>
  </w:footnote>
  <w:footnote w:id="64">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13, cl 15.</w:t>
      </w:r>
    </w:p>
  </w:footnote>
  <w:footnote w:id="65">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13, cl 18.</w:t>
      </w:r>
    </w:p>
  </w:footnote>
  <w:footnote w:id="66">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13, </w:t>
      </w:r>
      <w:proofErr w:type="spellStart"/>
      <w:r w:rsidRPr="00AA1B0F">
        <w:t>cls</w:t>
      </w:r>
      <w:proofErr w:type="spellEnd"/>
      <w:r w:rsidRPr="00AA1B0F">
        <w:t xml:space="preserve"> 16, 17.</w:t>
      </w:r>
    </w:p>
  </w:footnote>
  <w:footnote w:id="67">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13, cl 21(1), (4).</w:t>
      </w:r>
    </w:p>
  </w:footnote>
  <w:footnote w:id="68">
    <w:p w:rsidR="00225523" w:rsidRPr="00AA1B0F" w:rsidRDefault="00225523">
      <w:pPr>
        <w:pStyle w:val="FootnoteText"/>
      </w:pPr>
      <w:r w:rsidRPr="00AA1B0F">
        <w:rPr>
          <w:rStyle w:val="FootnoteReference"/>
        </w:rPr>
        <w:footnoteRef/>
      </w:r>
      <w:r w:rsidRPr="00AA1B0F">
        <w:t xml:space="preserve"> The definition of “enforce” in </w:t>
      </w:r>
      <w:proofErr w:type="spellStart"/>
      <w:r w:rsidRPr="00AA1B0F">
        <w:t>sch</w:t>
      </w:r>
      <w:proofErr w:type="spellEnd"/>
      <w:r w:rsidRPr="00AA1B0F">
        <w:t xml:space="preserve"> 13, cl 4(1) adopts the definition of this term for the purposes of the voluntary administration regime in the Companies Act: see </w:t>
      </w:r>
      <w:r w:rsidRPr="00AA1B0F">
        <w:rPr>
          <w:i/>
        </w:rPr>
        <w:t>Companies Act 1993</w:t>
      </w:r>
      <w:r w:rsidRPr="00AA1B0F">
        <w:t xml:space="preserve"> (NZ), s 239ABK. </w:t>
      </w:r>
    </w:p>
  </w:footnote>
  <w:footnote w:id="69">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13, cl 21(2).</w:t>
      </w:r>
    </w:p>
  </w:footnote>
  <w:footnote w:id="70">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13, cl 22. Excluded debt is defined to include debts incurred after the entity’s entry into BDH, to wages, salaries or other amounts owed to an employee in connection with an employment relationship, and amounts owed to the Commissioner of Inland Revenue (including PAYE, student loan repayments, </w:t>
      </w:r>
      <w:proofErr w:type="spellStart"/>
      <w:r w:rsidRPr="00AA1B0F">
        <w:t>kiwisaver</w:t>
      </w:r>
      <w:proofErr w:type="spellEnd"/>
      <w:r w:rsidRPr="00AA1B0F">
        <w:t xml:space="preserve"> contributions and amounts payable under an instalment arrangement entered into with the Commissioner): </w:t>
      </w:r>
      <w:r w:rsidRPr="00AA1B0F">
        <w:rPr>
          <w:i/>
        </w:rPr>
        <w:t>Companies Act 1993</w:t>
      </w:r>
      <w:r w:rsidRPr="00AA1B0F">
        <w:t xml:space="preserve"> (NZ), cl 4. </w:t>
      </w:r>
    </w:p>
  </w:footnote>
  <w:footnote w:id="71">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13, </w:t>
      </w:r>
      <w:proofErr w:type="spellStart"/>
      <w:r w:rsidRPr="00AA1B0F">
        <w:t>cls</w:t>
      </w:r>
      <w:proofErr w:type="spellEnd"/>
      <w:r w:rsidRPr="00AA1B0F">
        <w:t xml:space="preserve"> 45, 46. Note, also, that the rights of secured creditors pursuant to these exceptions may be limited by the Court: </w:t>
      </w:r>
      <w:r w:rsidRPr="00AA1B0F">
        <w:rPr>
          <w:i/>
        </w:rPr>
        <w:t>Companies Act 1993</w:t>
      </w:r>
      <w:r w:rsidRPr="00AA1B0F">
        <w:t xml:space="preserve"> (NZ), cl 47.</w:t>
      </w:r>
    </w:p>
  </w:footnote>
  <w:footnote w:id="72">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13, cl 38.</w:t>
      </w:r>
    </w:p>
  </w:footnote>
  <w:footnote w:id="73">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13, </w:t>
      </w:r>
      <w:proofErr w:type="spellStart"/>
      <w:r w:rsidRPr="00AA1B0F">
        <w:t>cls</w:t>
      </w:r>
      <w:proofErr w:type="spellEnd"/>
      <w:r w:rsidRPr="00AA1B0F">
        <w:t xml:space="preserve"> 49, 50. Note, also, that the rights of owners or lessors pursuant to these exceptions may be limited by the Court: </w:t>
      </w:r>
      <w:r w:rsidRPr="00AA1B0F">
        <w:rPr>
          <w:i/>
        </w:rPr>
        <w:t>Companies Act 1993</w:t>
      </w:r>
      <w:r w:rsidRPr="00AA1B0F">
        <w:t xml:space="preserve"> (NZ), cl 51.</w:t>
      </w:r>
    </w:p>
  </w:footnote>
  <w:footnote w:id="74">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13, cl 39.</w:t>
      </w:r>
    </w:p>
  </w:footnote>
  <w:footnote w:id="75">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13, cl 40.</w:t>
      </w:r>
    </w:p>
  </w:footnote>
  <w:footnote w:id="76">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13, cl 42. Note the duties of court officers in relation to an entity’s property: </w:t>
      </w:r>
      <w:r w:rsidRPr="00AA1B0F">
        <w:rPr>
          <w:i/>
        </w:rPr>
        <w:t>Companies Act 1993</w:t>
      </w:r>
      <w:r w:rsidRPr="00AA1B0F">
        <w:t xml:space="preserve"> (NZ), </w:t>
      </w:r>
      <w:proofErr w:type="spellStart"/>
      <w:r w:rsidRPr="00AA1B0F">
        <w:t>sch</w:t>
      </w:r>
      <w:proofErr w:type="spellEnd"/>
      <w:r w:rsidRPr="00AA1B0F">
        <w:t xml:space="preserve"> 13, cl 43.</w:t>
      </w:r>
    </w:p>
  </w:footnote>
  <w:footnote w:id="77">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13, cl 44.</w:t>
      </w:r>
    </w:p>
  </w:footnote>
  <w:footnote w:id="78">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13, cl 36(1</w:t>
      </w:r>
      <w:proofErr w:type="gramStart"/>
      <w:r w:rsidRPr="00AA1B0F">
        <w:t>)(</w:t>
      </w:r>
      <w:proofErr w:type="gramEnd"/>
      <w:r w:rsidRPr="00AA1B0F">
        <w:t>b).</w:t>
      </w:r>
    </w:p>
  </w:footnote>
  <w:footnote w:id="79">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13, cl 36(2).</w:t>
      </w:r>
    </w:p>
  </w:footnote>
  <w:footnote w:id="80">
    <w:p w:rsidR="00225523" w:rsidRPr="00AA1B0F" w:rsidRDefault="00225523" w:rsidP="001978C1">
      <w:pPr>
        <w:pStyle w:val="FootnoteText"/>
      </w:pPr>
      <w:r w:rsidRPr="00AA1B0F">
        <w:rPr>
          <w:rStyle w:val="FootnoteReference"/>
        </w:rPr>
        <w:footnoteRef/>
      </w:r>
      <w:r w:rsidRPr="00AA1B0F">
        <w:t xml:space="preserve"> See </w:t>
      </w:r>
      <w:r w:rsidRPr="00AA1B0F">
        <w:rPr>
          <w:i/>
        </w:rPr>
        <w:t>Companies Act 1993</w:t>
      </w:r>
      <w:r w:rsidRPr="00AA1B0F">
        <w:t xml:space="preserve"> (NZ), </w:t>
      </w:r>
      <w:proofErr w:type="spellStart"/>
      <w:r w:rsidRPr="00AA1B0F">
        <w:t>sch</w:t>
      </w:r>
      <w:proofErr w:type="spellEnd"/>
      <w:r w:rsidRPr="00AA1B0F">
        <w:t xml:space="preserve"> 7, cl 53(2).</w:t>
      </w:r>
    </w:p>
  </w:footnote>
  <w:footnote w:id="81">
    <w:p w:rsidR="00225523" w:rsidRPr="00AA1B0F" w:rsidRDefault="00225523">
      <w:pPr>
        <w:pStyle w:val="FootnoteText"/>
      </w:pPr>
      <w:r w:rsidRPr="00AA1B0F">
        <w:rPr>
          <w:rStyle w:val="FootnoteReference"/>
        </w:rPr>
        <w:footnoteRef/>
      </w:r>
      <w:r w:rsidRPr="00AA1B0F">
        <w:t xml:space="preserve"> The period of one month from the entity’s entry into BDH and for an additional six months if creditors approve an arrangement.</w:t>
      </w:r>
      <w:r w:rsidRPr="00AA1B0F">
        <w:rPr>
          <w:rStyle w:val="FootnoteReference"/>
        </w:rPr>
        <w:footnoteRef/>
      </w:r>
    </w:p>
  </w:footnote>
  <w:footnote w:id="82">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7, cl 53(1</w:t>
      </w:r>
      <w:proofErr w:type="gramStart"/>
      <w:r w:rsidRPr="00AA1B0F">
        <w:t>)(</w:t>
      </w:r>
      <w:proofErr w:type="gramEnd"/>
      <w:r w:rsidRPr="00AA1B0F">
        <w:t>a).</w:t>
      </w:r>
    </w:p>
  </w:footnote>
  <w:footnote w:id="83">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7, cl 53(1</w:t>
      </w:r>
      <w:proofErr w:type="gramStart"/>
      <w:r w:rsidRPr="00AA1B0F">
        <w:t>)(</w:t>
      </w:r>
      <w:proofErr w:type="gramEnd"/>
      <w:r w:rsidRPr="00AA1B0F">
        <w:t>b). Note the definition of “arms-length terms” in cl 53(3).</w:t>
      </w:r>
    </w:p>
  </w:footnote>
  <w:footnote w:id="84">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7, cl 7.</w:t>
      </w:r>
    </w:p>
  </w:footnote>
  <w:footnote w:id="85">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7, cl 9(1).</w:t>
      </w:r>
    </w:p>
  </w:footnote>
  <w:footnote w:id="86">
    <w:p w:rsidR="00225523" w:rsidRPr="00AA1B0F" w:rsidRDefault="00225523">
      <w:pPr>
        <w:pStyle w:val="FootnoteText"/>
      </w:pPr>
      <w:r w:rsidRPr="00AA1B0F">
        <w:rPr>
          <w:rStyle w:val="FootnoteReference"/>
        </w:rPr>
        <w:footnoteRef/>
      </w:r>
      <w:r w:rsidRPr="00AA1B0F">
        <w:t xml:space="preserve"> “Secured creditor” in relation to an entity is defined to mean a person entitled to a charge on or over property owned by the entity: </w:t>
      </w:r>
      <w:r w:rsidRPr="00AA1B0F">
        <w:rPr>
          <w:i/>
        </w:rPr>
        <w:t>Companies Act 1993</w:t>
      </w:r>
      <w:r w:rsidRPr="00AA1B0F">
        <w:t xml:space="preserve"> (NZ), </w:t>
      </w:r>
      <w:proofErr w:type="spellStart"/>
      <w:r w:rsidRPr="00AA1B0F">
        <w:t>sch</w:t>
      </w:r>
      <w:proofErr w:type="spellEnd"/>
      <w:r w:rsidRPr="00AA1B0F">
        <w:t xml:space="preserve"> 7, cl 4.</w:t>
      </w:r>
    </w:p>
  </w:footnote>
  <w:footnote w:id="87">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7, cl 4.</w:t>
      </w:r>
    </w:p>
  </w:footnote>
  <w:footnote w:id="88">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7, cl 4.</w:t>
      </w:r>
    </w:p>
  </w:footnote>
  <w:footnote w:id="89">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7, cl 30(2).</w:t>
      </w:r>
    </w:p>
  </w:footnote>
  <w:footnote w:id="90">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7, cl 30(1</w:t>
      </w:r>
      <w:proofErr w:type="gramStart"/>
      <w:r w:rsidRPr="00AA1B0F">
        <w:t>)(</w:t>
      </w:r>
      <w:proofErr w:type="gramEnd"/>
      <w:r w:rsidRPr="00AA1B0F">
        <w:t>a).</w:t>
      </w:r>
    </w:p>
  </w:footnote>
  <w:footnote w:id="91">
    <w:p w:rsidR="00225523" w:rsidRPr="00AA1B0F" w:rsidRDefault="00225523">
      <w:pPr>
        <w:pStyle w:val="FootnoteText"/>
      </w:pPr>
      <w:r w:rsidRPr="00AA1B0F">
        <w:rPr>
          <w:rStyle w:val="FootnoteReference"/>
        </w:rPr>
        <w:footnoteRef/>
      </w:r>
      <w:r w:rsidRPr="00AA1B0F">
        <w:t xml:space="preserve"> Unless this is a variation as a result of a permitted effect of an arrangement, or permitted under regulation: </w:t>
      </w:r>
      <w:r w:rsidRPr="00AA1B0F">
        <w:rPr>
          <w:i/>
        </w:rPr>
        <w:t>Companies Act 1993</w:t>
      </w:r>
      <w:r w:rsidRPr="00AA1B0F">
        <w:t xml:space="preserve"> (NZ), </w:t>
      </w:r>
      <w:proofErr w:type="spellStart"/>
      <w:r w:rsidRPr="00AA1B0F">
        <w:t>sch</w:t>
      </w:r>
      <w:proofErr w:type="spellEnd"/>
      <w:r w:rsidRPr="00AA1B0F">
        <w:t xml:space="preserve"> 7, cl 31(1</w:t>
      </w:r>
      <w:proofErr w:type="gramStart"/>
      <w:r w:rsidRPr="00AA1B0F">
        <w:t>)(</w:t>
      </w:r>
      <w:proofErr w:type="gramEnd"/>
      <w:r w:rsidRPr="00AA1B0F">
        <w:t>b), (3).</w:t>
      </w:r>
    </w:p>
  </w:footnote>
  <w:footnote w:id="92">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7, cl 30(1</w:t>
      </w:r>
      <w:proofErr w:type="gramStart"/>
      <w:r w:rsidRPr="00AA1B0F">
        <w:t>)(</w:t>
      </w:r>
      <w:proofErr w:type="gramEnd"/>
      <w:r w:rsidRPr="00AA1B0F">
        <w:t>b),(c).</w:t>
      </w:r>
    </w:p>
  </w:footnote>
  <w:footnote w:id="93">
    <w:p w:rsidR="00225523" w:rsidRPr="00AA1B0F" w:rsidRDefault="00225523">
      <w:pPr>
        <w:pStyle w:val="FootnoteText"/>
      </w:pPr>
      <w:r w:rsidRPr="00AA1B0F">
        <w:rPr>
          <w:rStyle w:val="FootnoteReference"/>
        </w:rPr>
        <w:footnoteRef/>
      </w:r>
      <w:r w:rsidRPr="00AA1B0F">
        <w:t xml:space="preserve"> The applicable rules relating to how a notice or other document may be given are those in s 391 of the </w:t>
      </w:r>
      <w:r w:rsidRPr="00AA1B0F">
        <w:rPr>
          <w:i/>
        </w:rPr>
        <w:t>Companies Act 1993</w:t>
      </w:r>
      <w:r w:rsidRPr="00AA1B0F">
        <w:t xml:space="preserve"> (NZ): Companies Act 1993, </w:t>
      </w:r>
      <w:proofErr w:type="spellStart"/>
      <w:r w:rsidRPr="00AA1B0F">
        <w:t>sch</w:t>
      </w:r>
      <w:proofErr w:type="spellEnd"/>
      <w:r w:rsidRPr="00AA1B0F">
        <w:t xml:space="preserve"> 13, </w:t>
      </w:r>
      <w:proofErr w:type="gramStart"/>
      <w:r w:rsidRPr="00AA1B0F">
        <w:t>cl</w:t>
      </w:r>
      <w:proofErr w:type="gramEnd"/>
      <w:r w:rsidRPr="00AA1B0F">
        <w:t xml:space="preserve"> 65(1).</w:t>
      </w:r>
    </w:p>
  </w:footnote>
  <w:footnote w:id="94">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7, cl 9(2).</w:t>
      </w:r>
    </w:p>
  </w:footnote>
  <w:footnote w:id="95">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7, cl 9(3).</w:t>
      </w:r>
    </w:p>
  </w:footnote>
  <w:footnote w:id="96">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7, cl 9(4).</w:t>
      </w:r>
    </w:p>
  </w:footnote>
  <w:footnote w:id="97">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7, cl 11. If a meeting is held, the specified procedural rules largely mirror those relating to meetings of creditors under </w:t>
      </w:r>
      <w:proofErr w:type="spellStart"/>
      <w:r w:rsidRPr="00AA1B0F">
        <w:t>sch</w:t>
      </w:r>
      <w:proofErr w:type="spellEnd"/>
      <w:r w:rsidRPr="00AA1B0F">
        <w:t xml:space="preserve"> 5 of </w:t>
      </w:r>
      <w:r w:rsidRPr="00AA1B0F">
        <w:rPr>
          <w:i/>
        </w:rPr>
        <w:t xml:space="preserve">Companies Act 1993 </w:t>
      </w:r>
      <w:r w:rsidRPr="00AA1B0F">
        <w:t xml:space="preserve">(NZ): </w:t>
      </w:r>
      <w:r w:rsidRPr="00AA1B0F">
        <w:rPr>
          <w:i/>
        </w:rPr>
        <w:t xml:space="preserve">Companies Act 1993 </w:t>
      </w:r>
      <w:r w:rsidRPr="00AA1B0F">
        <w:t xml:space="preserve">(NZ), </w:t>
      </w:r>
      <w:proofErr w:type="spellStart"/>
      <w:r w:rsidRPr="00AA1B0F">
        <w:t>sch</w:t>
      </w:r>
      <w:proofErr w:type="spellEnd"/>
      <w:r w:rsidRPr="00AA1B0F">
        <w:t xml:space="preserve"> 7, </w:t>
      </w:r>
      <w:proofErr w:type="spellStart"/>
      <w:r w:rsidRPr="00AA1B0F">
        <w:t>pt</w:t>
      </w:r>
      <w:proofErr w:type="spellEnd"/>
      <w:r w:rsidRPr="00AA1B0F">
        <w:t xml:space="preserve"> 8.</w:t>
      </w:r>
    </w:p>
  </w:footnote>
  <w:footnote w:id="98">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7, cl 4(2).</w:t>
      </w:r>
    </w:p>
  </w:footnote>
  <w:footnote w:id="99">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7, cl 10(1</w:t>
      </w:r>
      <w:proofErr w:type="gramStart"/>
      <w:r w:rsidRPr="00AA1B0F">
        <w:t>)(</w:t>
      </w:r>
      <w:proofErr w:type="gramEnd"/>
      <w:r w:rsidRPr="00AA1B0F">
        <w:t>c).</w:t>
      </w:r>
    </w:p>
  </w:footnote>
  <w:footnote w:id="100">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7, cl 24(1</w:t>
      </w:r>
      <w:proofErr w:type="gramStart"/>
      <w:r w:rsidRPr="00AA1B0F">
        <w:t>)(</w:t>
      </w:r>
      <w:proofErr w:type="gramEnd"/>
      <w:r w:rsidRPr="00AA1B0F">
        <w:t>a).</w:t>
      </w:r>
    </w:p>
  </w:footnote>
  <w:footnote w:id="101">
    <w:p w:rsidR="009659EF" w:rsidRPr="00AA1B0F" w:rsidRDefault="009659EF" w:rsidP="009659EF">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7, cl 24(1</w:t>
      </w:r>
      <w:proofErr w:type="gramStart"/>
      <w:r w:rsidRPr="00AA1B0F">
        <w:t>)(</w:t>
      </w:r>
      <w:proofErr w:type="gramEnd"/>
      <w:r w:rsidRPr="00AA1B0F">
        <w:t>b).</w:t>
      </w:r>
    </w:p>
  </w:footnote>
  <w:footnote w:id="102">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7, </w:t>
      </w:r>
      <w:proofErr w:type="spellStart"/>
      <w:r w:rsidRPr="00AA1B0F">
        <w:t>cls</w:t>
      </w:r>
      <w:proofErr w:type="spellEnd"/>
      <w:r w:rsidRPr="00AA1B0F">
        <w:t xml:space="preserve"> 32-35. </w:t>
      </w:r>
    </w:p>
  </w:footnote>
  <w:footnote w:id="103">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7, </w:t>
      </w:r>
      <w:proofErr w:type="spellStart"/>
      <w:r w:rsidRPr="00AA1B0F">
        <w:t>cls</w:t>
      </w:r>
      <w:proofErr w:type="spellEnd"/>
      <w:r w:rsidRPr="00AA1B0F">
        <w:t xml:space="preserve"> 24(2), 25(1).</w:t>
      </w:r>
    </w:p>
  </w:footnote>
  <w:footnote w:id="104">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7, cl 25(1).</w:t>
      </w:r>
    </w:p>
  </w:footnote>
  <w:footnote w:id="105">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7, </w:t>
      </w:r>
      <w:proofErr w:type="spellStart"/>
      <w:r w:rsidRPr="00AA1B0F">
        <w:t>cls</w:t>
      </w:r>
      <w:proofErr w:type="spellEnd"/>
      <w:r w:rsidRPr="00AA1B0F">
        <w:t xml:space="preserve"> 25(1</w:t>
      </w:r>
      <w:proofErr w:type="gramStart"/>
      <w:r w:rsidRPr="00AA1B0F">
        <w:t>)(</w:t>
      </w:r>
      <w:proofErr w:type="gramEnd"/>
      <w:r w:rsidRPr="00AA1B0F">
        <w:t>d), 27.</w:t>
      </w:r>
    </w:p>
  </w:footnote>
  <w:footnote w:id="106">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7, cl 28.</w:t>
      </w:r>
    </w:p>
  </w:footnote>
  <w:footnote w:id="107">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7, cl 29.</w:t>
      </w:r>
    </w:p>
  </w:footnote>
  <w:footnote w:id="108">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7, cl 31.</w:t>
      </w:r>
    </w:p>
  </w:footnote>
  <w:footnote w:id="109">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7, cl 36(1</w:t>
      </w:r>
      <w:proofErr w:type="gramStart"/>
      <w:r w:rsidRPr="00AA1B0F">
        <w:t>)(</w:t>
      </w:r>
      <w:proofErr w:type="gramEnd"/>
      <w:r w:rsidRPr="00AA1B0F">
        <w:t>a).</w:t>
      </w:r>
    </w:p>
  </w:footnote>
  <w:footnote w:id="110">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Pr="00AA1B0F">
        <w:t>sch</w:t>
      </w:r>
      <w:proofErr w:type="spellEnd"/>
      <w:r w:rsidRPr="00AA1B0F">
        <w:t xml:space="preserve"> 7, cl 37. See also </w:t>
      </w:r>
      <w:r w:rsidRPr="006C7A7D">
        <w:rPr>
          <w:i/>
        </w:rPr>
        <w:t>Companies Act 1993</w:t>
      </w:r>
      <w:r w:rsidRPr="00AA1B0F">
        <w:t xml:space="preserve"> (NZ), s 232.</w:t>
      </w:r>
    </w:p>
  </w:footnote>
  <w:footnote w:id="111">
    <w:p w:rsidR="00225523" w:rsidRPr="00AA1B0F" w:rsidRDefault="00225523">
      <w:pPr>
        <w:pStyle w:val="FootnoteText"/>
      </w:pPr>
      <w:r w:rsidRPr="00AA1B0F">
        <w:rPr>
          <w:rStyle w:val="FootnoteReference"/>
        </w:rPr>
        <w:footnoteRef/>
      </w:r>
      <w:r w:rsidRPr="00AA1B0F">
        <w:t xml:space="preserve"> </w:t>
      </w:r>
      <w:r w:rsidRPr="00AA1B0F">
        <w:rPr>
          <w:i/>
        </w:rPr>
        <w:t>Companies Act 1993</w:t>
      </w:r>
      <w:r w:rsidRPr="00AA1B0F">
        <w:t xml:space="preserve"> (NZ), </w:t>
      </w:r>
      <w:proofErr w:type="spellStart"/>
      <w:r w:rsidR="00356855" w:rsidRPr="00AA1B0F">
        <w:t>sch</w:t>
      </w:r>
      <w:proofErr w:type="spellEnd"/>
      <w:r w:rsidR="00356855" w:rsidRPr="00AA1B0F">
        <w:t xml:space="preserve"> 1AA, cl 6(1); </w:t>
      </w:r>
      <w:r w:rsidRPr="006C7A7D">
        <w:rPr>
          <w:i/>
        </w:rPr>
        <w:t>Insolvency Act 2006</w:t>
      </w:r>
      <w:r w:rsidRPr="00AA1B0F">
        <w:t xml:space="preserve"> (NZ), </w:t>
      </w:r>
      <w:proofErr w:type="spellStart"/>
      <w:r w:rsidRPr="00AA1B0F">
        <w:t>sch</w:t>
      </w:r>
      <w:proofErr w:type="spellEnd"/>
      <w:r w:rsidRPr="00AA1B0F">
        <w:t xml:space="preserve"> 1AA, cl 26(1). </w:t>
      </w:r>
    </w:p>
  </w:footnote>
  <w:footnote w:id="112">
    <w:p w:rsidR="00356855" w:rsidRPr="00AA1B0F" w:rsidRDefault="00356855">
      <w:pPr>
        <w:pStyle w:val="FootnoteText"/>
        <w:rPr>
          <w:rFonts w:cstheme="minorHAnsi"/>
        </w:rPr>
      </w:pPr>
      <w:r w:rsidRPr="00AA1B0F">
        <w:rPr>
          <w:rStyle w:val="FootnoteReference"/>
        </w:rPr>
        <w:footnoteRef/>
      </w:r>
      <w:r w:rsidRPr="00AA1B0F">
        <w:t xml:space="preserve"> </w:t>
      </w:r>
      <w:r w:rsidRPr="00AA1B0F">
        <w:rPr>
          <w:rFonts w:cstheme="minorHAnsi"/>
        </w:rPr>
        <w:t>See Cabinet Paper “Insolvency Law Reform” (23 September 2019) at [21]; Regulatory Impact Statement “Voidable Transactions” (23 September</w:t>
      </w:r>
      <w:r w:rsidRPr="00AA1B0F">
        <w:rPr>
          <w:rFonts w:cstheme="minorHAnsi"/>
          <w:i/>
        </w:rPr>
        <w:t xml:space="preserve"> </w:t>
      </w:r>
      <w:r w:rsidRPr="00AA1B0F">
        <w:rPr>
          <w:rFonts w:cstheme="minorHAnsi"/>
        </w:rPr>
        <w:t>2019).</w:t>
      </w:r>
    </w:p>
  </w:footnote>
  <w:footnote w:id="113">
    <w:p w:rsidR="00356855" w:rsidRPr="00AA1B0F" w:rsidRDefault="00356855">
      <w:pPr>
        <w:pStyle w:val="FootnoteText"/>
      </w:pPr>
      <w:r w:rsidRPr="00AA1B0F">
        <w:rPr>
          <w:rStyle w:val="FootnoteReference"/>
        </w:rPr>
        <w:footnoteRef/>
      </w:r>
      <w:r w:rsidRPr="00AA1B0F">
        <w:t xml:space="preserve"> </w:t>
      </w:r>
      <w:r w:rsidRPr="00AA1B0F">
        <w:rPr>
          <w:i/>
        </w:rPr>
        <w:t>Companies Act 1993</w:t>
      </w:r>
      <w:r w:rsidR="00AA1B0F">
        <w:t xml:space="preserve"> (NZ)</w:t>
      </w:r>
      <w:r w:rsidRPr="00AA1B0F">
        <w:t xml:space="preserve">, </w:t>
      </w:r>
      <w:proofErr w:type="spellStart"/>
      <w:r w:rsidRPr="00AA1B0F">
        <w:t>ss</w:t>
      </w:r>
      <w:proofErr w:type="spellEnd"/>
      <w:r w:rsidRPr="00AA1B0F">
        <w:t xml:space="preserve"> 292(1</w:t>
      </w:r>
      <w:proofErr w:type="gramStart"/>
      <w:r w:rsidRPr="00AA1B0F">
        <w:t>)(</w:t>
      </w:r>
      <w:proofErr w:type="gramEnd"/>
      <w:r w:rsidRPr="00AA1B0F">
        <w:t>a),</w:t>
      </w:r>
      <w:r w:rsidR="005747D4" w:rsidRPr="00AA1B0F">
        <w:t xml:space="preserve"> 4(C),</w:t>
      </w:r>
      <w:r w:rsidRPr="00AA1B0F">
        <w:t xml:space="preserve"> 293</w:t>
      </w:r>
      <w:r w:rsidR="005747D4" w:rsidRPr="00AA1B0F">
        <w:t xml:space="preserve">(1), (5A); </w:t>
      </w:r>
      <w:r w:rsidR="005747D4" w:rsidRPr="00AA1B0F">
        <w:rPr>
          <w:i/>
        </w:rPr>
        <w:t>Insolvency Act 2006</w:t>
      </w:r>
      <w:r w:rsidR="00AA1B0F">
        <w:t xml:space="preserve"> (NZ)</w:t>
      </w:r>
      <w:r w:rsidR="005747D4" w:rsidRPr="00AA1B0F">
        <w:t xml:space="preserve">, </w:t>
      </w:r>
      <w:proofErr w:type="spellStart"/>
      <w:r w:rsidR="005747D4" w:rsidRPr="00AA1B0F">
        <w:t>ss</w:t>
      </w:r>
      <w:proofErr w:type="spellEnd"/>
      <w:r w:rsidR="005747D4" w:rsidRPr="00AA1B0F">
        <w:t xml:space="preserve"> 194</w:t>
      </w:r>
      <w:r w:rsidR="003E707C" w:rsidRPr="00AA1B0F">
        <w:t>(1)</w:t>
      </w:r>
      <w:r w:rsidR="005747D4" w:rsidRPr="00AA1B0F">
        <w:t xml:space="preserve">, </w:t>
      </w:r>
      <w:r w:rsidR="003E707C" w:rsidRPr="00AA1B0F">
        <w:t xml:space="preserve">198(1). </w:t>
      </w:r>
      <w:r w:rsidR="005747D4" w:rsidRPr="00AA1B0F">
        <w:t xml:space="preserve">Note the definition of “related party” in </w:t>
      </w:r>
      <w:r w:rsidR="005747D4" w:rsidRPr="00AA1B0F">
        <w:rPr>
          <w:i/>
        </w:rPr>
        <w:t>Companies Act 1993</w:t>
      </w:r>
      <w:r w:rsidR="005747D4" w:rsidRPr="00AA1B0F">
        <w:t xml:space="preserve"> (NZ), s 291A; </w:t>
      </w:r>
      <w:r w:rsidR="005747D4" w:rsidRPr="00AA1B0F">
        <w:rPr>
          <w:i/>
        </w:rPr>
        <w:t>Insolvency Act 2006</w:t>
      </w:r>
      <w:r w:rsidR="005747D4" w:rsidRPr="00AA1B0F">
        <w:t xml:space="preserve"> (NZ), </w:t>
      </w:r>
      <w:proofErr w:type="spellStart"/>
      <w:r w:rsidR="005747D4" w:rsidRPr="00AA1B0F">
        <w:t>s</w:t>
      </w:r>
      <w:r w:rsidR="003E707C" w:rsidRPr="00AA1B0F">
        <w:t>s</w:t>
      </w:r>
      <w:proofErr w:type="spellEnd"/>
      <w:r w:rsidR="003E707C" w:rsidRPr="00AA1B0F">
        <w:t xml:space="preserve"> 193A.</w:t>
      </w:r>
    </w:p>
  </w:footnote>
  <w:footnote w:id="114">
    <w:p w:rsidR="005747D4" w:rsidRPr="00AA1B0F" w:rsidRDefault="005747D4">
      <w:pPr>
        <w:pStyle w:val="FootnoteText"/>
      </w:pPr>
      <w:r w:rsidRPr="00AA1B0F">
        <w:rPr>
          <w:rStyle w:val="FootnoteReference"/>
        </w:rPr>
        <w:footnoteRef/>
      </w:r>
      <w:r w:rsidRPr="00AA1B0F">
        <w:t xml:space="preserve"> </w:t>
      </w:r>
      <w:r w:rsidRPr="00AA1B0F">
        <w:rPr>
          <w:i/>
        </w:rPr>
        <w:t>Companies Act 1993</w:t>
      </w:r>
      <w:r w:rsidR="00AA1B0F">
        <w:t xml:space="preserve"> (NZ)</w:t>
      </w:r>
      <w:r w:rsidRPr="00AA1B0F">
        <w:t xml:space="preserve">, </w:t>
      </w:r>
      <w:proofErr w:type="spellStart"/>
      <w:r w:rsidRPr="00AA1B0F">
        <w:t>ss</w:t>
      </w:r>
      <w:proofErr w:type="spellEnd"/>
      <w:r w:rsidRPr="00AA1B0F">
        <w:t xml:space="preserve"> 292(1A), (5), 293(1AA), (5); </w:t>
      </w:r>
      <w:r w:rsidRPr="00AA1B0F">
        <w:rPr>
          <w:i/>
        </w:rPr>
        <w:t>Insolvency Act 2006</w:t>
      </w:r>
      <w:r w:rsidRPr="00AA1B0F">
        <w:t xml:space="preserve"> (NZ), </w:t>
      </w:r>
      <w:proofErr w:type="spellStart"/>
      <w:r w:rsidRPr="00AA1B0F">
        <w:t>s</w:t>
      </w:r>
      <w:r w:rsidR="003E707C" w:rsidRPr="00AA1B0F">
        <w:t>s</w:t>
      </w:r>
      <w:proofErr w:type="spellEnd"/>
      <w:r w:rsidRPr="00AA1B0F">
        <w:t xml:space="preserve"> 194(2), 198(2).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0938"/>
    <w:multiLevelType w:val="hybridMultilevel"/>
    <w:tmpl w:val="CDC45EEE"/>
    <w:lvl w:ilvl="0" w:tplc="12DCEB7E">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17141F0D"/>
    <w:multiLevelType w:val="hybridMultilevel"/>
    <w:tmpl w:val="D2AA4E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8B3C9F"/>
    <w:multiLevelType w:val="hybridMultilevel"/>
    <w:tmpl w:val="F57E7F02"/>
    <w:lvl w:ilvl="0" w:tplc="91D407C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3E6F64E7"/>
    <w:multiLevelType w:val="hybridMultilevel"/>
    <w:tmpl w:val="866450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A762BB7"/>
    <w:multiLevelType w:val="hybridMultilevel"/>
    <w:tmpl w:val="141CE70E"/>
    <w:lvl w:ilvl="0" w:tplc="9FE48F2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6BE32FBD"/>
    <w:multiLevelType w:val="hybridMultilevel"/>
    <w:tmpl w:val="39888DD8"/>
    <w:lvl w:ilvl="0" w:tplc="CDCCC38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746173A0"/>
    <w:multiLevelType w:val="hybridMultilevel"/>
    <w:tmpl w:val="1CBEE7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FDD146A"/>
    <w:multiLevelType w:val="hybridMultilevel"/>
    <w:tmpl w:val="B00C4C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DD"/>
    <w:rsid w:val="00014D9B"/>
    <w:rsid w:val="00092B95"/>
    <w:rsid w:val="000A3597"/>
    <w:rsid w:val="000B33B8"/>
    <w:rsid w:val="000D1218"/>
    <w:rsid w:val="000D596B"/>
    <w:rsid w:val="000E6FBE"/>
    <w:rsid w:val="000F31DF"/>
    <w:rsid w:val="00100552"/>
    <w:rsid w:val="001108FA"/>
    <w:rsid w:val="00116118"/>
    <w:rsid w:val="00130805"/>
    <w:rsid w:val="00133024"/>
    <w:rsid w:val="0013710F"/>
    <w:rsid w:val="0018300E"/>
    <w:rsid w:val="00191708"/>
    <w:rsid w:val="00192621"/>
    <w:rsid w:val="00197055"/>
    <w:rsid w:val="001978C1"/>
    <w:rsid w:val="001B4697"/>
    <w:rsid w:val="001C3B9D"/>
    <w:rsid w:val="001E276A"/>
    <w:rsid w:val="00216A5A"/>
    <w:rsid w:val="00225523"/>
    <w:rsid w:val="00275D27"/>
    <w:rsid w:val="0029062E"/>
    <w:rsid w:val="00296593"/>
    <w:rsid w:val="002A0A67"/>
    <w:rsid w:val="002A7114"/>
    <w:rsid w:val="002E01DD"/>
    <w:rsid w:val="002E340A"/>
    <w:rsid w:val="002F1FD4"/>
    <w:rsid w:val="00300000"/>
    <w:rsid w:val="0031617A"/>
    <w:rsid w:val="00350100"/>
    <w:rsid w:val="00356855"/>
    <w:rsid w:val="00357BEA"/>
    <w:rsid w:val="00397022"/>
    <w:rsid w:val="003E3056"/>
    <w:rsid w:val="003E707C"/>
    <w:rsid w:val="003F52B1"/>
    <w:rsid w:val="005156CD"/>
    <w:rsid w:val="005426DE"/>
    <w:rsid w:val="00563B99"/>
    <w:rsid w:val="00565783"/>
    <w:rsid w:val="00566D83"/>
    <w:rsid w:val="005747D4"/>
    <w:rsid w:val="005C11A5"/>
    <w:rsid w:val="005F125D"/>
    <w:rsid w:val="006510DD"/>
    <w:rsid w:val="00655D2E"/>
    <w:rsid w:val="0068020D"/>
    <w:rsid w:val="006900FB"/>
    <w:rsid w:val="006A12BD"/>
    <w:rsid w:val="006A2429"/>
    <w:rsid w:val="006C7A7D"/>
    <w:rsid w:val="006E6CCB"/>
    <w:rsid w:val="006F1250"/>
    <w:rsid w:val="006F7FD2"/>
    <w:rsid w:val="00714A6C"/>
    <w:rsid w:val="007C362E"/>
    <w:rsid w:val="007E27AC"/>
    <w:rsid w:val="00822600"/>
    <w:rsid w:val="0083248F"/>
    <w:rsid w:val="0086141A"/>
    <w:rsid w:val="00885EF0"/>
    <w:rsid w:val="008B3798"/>
    <w:rsid w:val="008C0899"/>
    <w:rsid w:val="00906795"/>
    <w:rsid w:val="00943E2D"/>
    <w:rsid w:val="009659EF"/>
    <w:rsid w:val="00994867"/>
    <w:rsid w:val="009C379D"/>
    <w:rsid w:val="009C568F"/>
    <w:rsid w:val="00A034FA"/>
    <w:rsid w:val="00A13C97"/>
    <w:rsid w:val="00A30D63"/>
    <w:rsid w:val="00A93B0F"/>
    <w:rsid w:val="00AA1B0F"/>
    <w:rsid w:val="00AD381C"/>
    <w:rsid w:val="00AE200F"/>
    <w:rsid w:val="00B64B1E"/>
    <w:rsid w:val="00B74F84"/>
    <w:rsid w:val="00B82F3F"/>
    <w:rsid w:val="00B94DAE"/>
    <w:rsid w:val="00B95BFB"/>
    <w:rsid w:val="00B9661A"/>
    <w:rsid w:val="00BA2C76"/>
    <w:rsid w:val="00BA7848"/>
    <w:rsid w:val="00BD195E"/>
    <w:rsid w:val="00BD3BB2"/>
    <w:rsid w:val="00BE4AE7"/>
    <w:rsid w:val="00BF1CC2"/>
    <w:rsid w:val="00C62088"/>
    <w:rsid w:val="00C65C86"/>
    <w:rsid w:val="00CB2195"/>
    <w:rsid w:val="00CC3551"/>
    <w:rsid w:val="00D45746"/>
    <w:rsid w:val="00D66099"/>
    <w:rsid w:val="00D82832"/>
    <w:rsid w:val="00D931BB"/>
    <w:rsid w:val="00E02060"/>
    <w:rsid w:val="00E212BC"/>
    <w:rsid w:val="00E3405F"/>
    <w:rsid w:val="00E6399D"/>
    <w:rsid w:val="00E71478"/>
    <w:rsid w:val="00E77C7A"/>
    <w:rsid w:val="00E84DA7"/>
    <w:rsid w:val="00EE3653"/>
    <w:rsid w:val="00EF02F1"/>
    <w:rsid w:val="00EF4C18"/>
    <w:rsid w:val="00F12414"/>
    <w:rsid w:val="00F67986"/>
    <w:rsid w:val="00FC682D"/>
    <w:rsid w:val="00FD3E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9CD59-7313-4907-A372-C38ECB99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BA7848"/>
    <w:pPr>
      <w:spacing w:after="0" w:line="240" w:lineRule="auto"/>
    </w:pPr>
    <w:rPr>
      <w:sz w:val="20"/>
      <w:szCs w:val="20"/>
    </w:rPr>
  </w:style>
  <w:style w:type="character" w:customStyle="1" w:styleId="FootnoteTextChar">
    <w:name w:val="Footnote Text Char"/>
    <w:basedOn w:val="DefaultParagraphFont"/>
    <w:link w:val="FootnoteText"/>
    <w:rsid w:val="00BA7848"/>
    <w:rPr>
      <w:sz w:val="20"/>
      <w:szCs w:val="20"/>
    </w:rPr>
  </w:style>
  <w:style w:type="character" w:styleId="FootnoteReference">
    <w:name w:val="footnote reference"/>
    <w:basedOn w:val="DefaultParagraphFont"/>
    <w:semiHidden/>
    <w:unhideWhenUsed/>
    <w:rsid w:val="00BA7848"/>
    <w:rPr>
      <w:vertAlign w:val="superscript"/>
    </w:rPr>
  </w:style>
  <w:style w:type="paragraph" w:styleId="ListParagraph">
    <w:name w:val="List Paragraph"/>
    <w:basedOn w:val="Normal"/>
    <w:uiPriority w:val="34"/>
    <w:qFormat/>
    <w:rsid w:val="006A2429"/>
    <w:pPr>
      <w:ind w:left="720"/>
      <w:contextualSpacing/>
    </w:pPr>
  </w:style>
  <w:style w:type="character" w:styleId="Hyperlink">
    <w:name w:val="Hyperlink"/>
    <w:basedOn w:val="DefaultParagraphFont"/>
    <w:uiPriority w:val="99"/>
    <w:unhideWhenUsed/>
    <w:rsid w:val="00885EF0"/>
    <w:rPr>
      <w:color w:val="0000FF" w:themeColor="hyperlink"/>
      <w:u w:val="single"/>
    </w:rPr>
  </w:style>
  <w:style w:type="paragraph" w:styleId="EndnoteText">
    <w:name w:val="endnote text"/>
    <w:basedOn w:val="Normal"/>
    <w:link w:val="EndnoteTextChar"/>
    <w:uiPriority w:val="99"/>
    <w:semiHidden/>
    <w:unhideWhenUsed/>
    <w:rsid w:val="001C3B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3B9D"/>
    <w:rPr>
      <w:sz w:val="20"/>
      <w:szCs w:val="20"/>
    </w:rPr>
  </w:style>
  <w:style w:type="character" w:styleId="EndnoteReference">
    <w:name w:val="endnote reference"/>
    <w:basedOn w:val="DefaultParagraphFont"/>
    <w:uiPriority w:val="99"/>
    <w:semiHidden/>
    <w:unhideWhenUsed/>
    <w:rsid w:val="001C3B9D"/>
    <w:rPr>
      <w:vertAlign w:val="superscript"/>
    </w:rPr>
  </w:style>
  <w:style w:type="paragraph" w:styleId="BalloonText">
    <w:name w:val="Balloon Text"/>
    <w:basedOn w:val="Normal"/>
    <w:link w:val="BalloonTextChar"/>
    <w:uiPriority w:val="99"/>
    <w:semiHidden/>
    <w:unhideWhenUsed/>
    <w:rsid w:val="00BA2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C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00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beehive" TargetMode="External"/><Relationship Id="rId7" Type="http://schemas.openxmlformats.org/officeDocument/2006/relationships/hyperlink" Target="http://www.business.govt.nz/covid-19/business-debt-hibernation/" TargetMode="External"/><Relationship Id="rId2" Type="http://schemas.openxmlformats.org/officeDocument/2006/relationships/hyperlink" Target="http://www.employment.govt.nz/leave-and-holidays/other-types-of%20leave/coronavirus-workplace/wage-subsidy/" TargetMode="External"/><Relationship Id="rId1" Type="http://schemas.openxmlformats.org/officeDocument/2006/relationships/hyperlink" Target="http://www.covid19.govt.nz/" TargetMode="External"/><Relationship Id="rId6" Type="http://schemas.openxmlformats.org/officeDocument/2006/relationships/hyperlink" Target="https://www.stats.govt.nz/information-releases/employment-indicators-april-2020" TargetMode="External"/><Relationship Id="rId5" Type="http://schemas.openxmlformats.org/officeDocument/2006/relationships/hyperlink" Target="http://www.ird.govt.nz/covid-19/business-and-organisations/temporary-loss-carry-back-scheme" TargetMode="External"/><Relationship Id="rId4" Type="http://schemas.openxmlformats.org/officeDocument/2006/relationships/hyperlink" Target="http://www.business.govt.nz/covid-19/business-finance-guarantee-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3734</Words>
  <Characters>21288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24973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Taylor</dc:creator>
  <cp:keywords/>
  <dc:description/>
  <cp:lastModifiedBy>Lynne Taylor</cp:lastModifiedBy>
  <cp:revision>2</cp:revision>
  <cp:lastPrinted>2020-06-02T23:47:00Z</cp:lastPrinted>
  <dcterms:created xsi:type="dcterms:W3CDTF">2020-06-08T21:35:00Z</dcterms:created>
  <dcterms:modified xsi:type="dcterms:W3CDTF">2020-06-08T21:35:00Z</dcterms:modified>
</cp:coreProperties>
</file>